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360"/>
        <w:jc w:val="right"/>
        <w:spacing w:after="0" w:line="240" w:lineRule="auto"/>
        <w:shd w:val="clear" w:color="auto" w:fill="ffffff" w:themeFill="background1"/>
        <w:tabs>
          <w:tab w:val="left" w:pos="900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/>
        </w:rPr>
        <w:t xml:space="preserve">Приложение №</w:t>
      </w:r>
      <w:r>
        <w:rPr>
          <w:rFonts w:ascii="Times New Roman" w:hAnsi="Times New Roman"/>
        </w:rPr>
        <w:t xml:space="preserve">1</w:t>
      </w:r>
      <w:r>
        <w:rPr>
          <w:rFonts w:ascii="Times New Roman" w:hAnsi="Times New Roman"/>
        </w:rPr>
        <w:t xml:space="preserve"> к Техническим требованиям</w:t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ind w:firstLine="360"/>
        <w:jc w:val="right"/>
        <w:spacing w:after="0" w:line="240" w:lineRule="auto"/>
        <w:shd w:val="clear" w:color="auto" w:fill="ffffff" w:themeFill="background1"/>
        <w:tabs>
          <w:tab w:val="left" w:pos="900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p>
      <w:pPr>
        <w:ind w:firstLine="567"/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</w:rPr>
      </w:r>
      <w:bookmarkStart w:id="0" w:name="undefined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eastAsia="Times New Roman" w:cs="Times New Roman"/>
          <w:b/>
          <w:sz w:val="22"/>
          <w:szCs w:val="22"/>
          <w:u w:val="single"/>
        </w:rPr>
        <w:t xml:space="preserve">не допускается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eastAsia="Times New Roman" w:cs="Times New Roman"/>
          <w:sz w:val="22"/>
          <w:szCs w:val="22"/>
          <w:u w:val="single"/>
        </w:rPr>
        <w:t xml:space="preserve">должна быть не ниже 2021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</w:t>
      </w:r>
      <w:r>
        <w:rPr>
          <w:rFonts w:ascii="Times New Roman" w:hAnsi="Times New Roman" w:eastAsia="Times New Roman" w:cs="Times New Roman"/>
          <w:sz w:val="22"/>
          <w:szCs w:val="22"/>
          <w:u w:val="single"/>
        </w:rPr>
      </w:r>
      <w:r>
        <w:rPr>
          <w:rFonts w:ascii="Times New Roman" w:hAnsi="Times New Roman" w:cs="Times New Roman"/>
          <w:sz w:val="22"/>
          <w:szCs w:val="22"/>
          <w:u w:val="single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составлении смет руководствова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widowControl/>
        <w:tabs>
          <w:tab w:val="left" w:pos="284" w:leader="none"/>
          <w:tab w:val="num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ab/>
        <w:t xml:space="preserve">При составлении сметной документации необходимо использовать сметно-нормативную базу «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ФСНБ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2» актуальной редакции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Определение сметной стоимости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работ возможно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следующими методами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1"/>
          <w:numId w:val="97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num" w:pos="1277" w:leader="none"/>
          <w:tab w:val="clear" w:pos="1844" w:leader="none"/>
        </w:tabs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</w:rPr>
      </w:r>
      <w:bookmarkStart w:id="0" w:name="undefined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b/>
          <w:sz w:val="22"/>
          <w:szCs w:val="22"/>
          <w:u w:val="single"/>
        </w:rPr>
        <w:t xml:space="preserve">Ресурсно-индексным -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ресурсно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Индексы перевода в текущие цены учитывать по данным ФГИС, публикуемых на момент составления сметной документации</w:t>
      </w:r>
      <w:r>
        <w:rPr>
          <w:rFonts w:ascii="Times New Roman" w:hAnsi="Times New Roman" w:eastAsia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</w:t>
      </w:r>
      <w:r>
        <w:rPr>
          <w:rFonts w:ascii="Times New Roman" w:hAnsi="Times New Roman" w:eastAsia="Times New Roman" w:cs="Times New Roman"/>
          <w:i/>
          <w:sz w:val="22"/>
          <w:szCs w:val="22"/>
        </w:rPr>
        <w:t xml:space="preserve">отсутствия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труда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для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ЕНиР и ВНиР определ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ять аналогично примененному в сметной документации методу расчета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с тарифными ставками сборника «Показатели часовой оплаты труда» (далее - ТС 2001), внесенного в ФРСН.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i/>
          <w:sz w:val="22"/>
          <w:szCs w:val="22"/>
        </w:rPr>
        <w:t xml:space="preserve">При </w:t>
      </w:r>
      <w:r>
        <w:rPr>
          <w:rFonts w:ascii="Times New Roman" w:hAnsi="Times New Roman" w:eastAsia="Times New Roman" w:cs="Times New Roman"/>
          <w:i/>
          <w:sz w:val="22"/>
          <w:szCs w:val="22"/>
        </w:rPr>
        <w:t xml:space="preserve">отсутствии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информации о сметных ценах в ФГИС ЦС и ФССЦ по материальным ресурсам и оборудованию, их сметная цена формируется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bookmarkStart w:id="0" w:name="undefined"/>
      <w:r>
        <w:rPr>
          <w:rFonts w:ascii="Times New Roman" w:hAnsi="Times New Roman" w:eastAsia="Times New Roman" w:cs="Times New Roman"/>
          <w:sz w:val="22"/>
          <w:szCs w:val="22"/>
        </w:rPr>
        <w:t xml:space="preserve">Методом анализа ТКП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bookmarkEnd w:id="0"/>
      <w:r>
        <w:rPr>
          <w:rFonts w:ascii="Times New Roman" w:hAnsi="Times New Roman" w:eastAsia="Times New Roman" w:cs="Times New Roman"/>
          <w:sz w:val="22"/>
          <w:szCs w:val="22"/>
        </w:rPr>
        <w:t xml:space="preserve">в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с предложениями от трех поставщиков каждой единицы продукции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При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определении сметной стоимости в 2-х уровнях цен (текущем и базисном),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стоимость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указанных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материальных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 ресурсов и оборудования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num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ind w:left="0" w:right="0" w:firstLine="567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.1.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по доставке материальных ресурсов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8"/>
        </w:numPr>
        <w:ind w:left="0"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8"/>
        </w:numPr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8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материальных ресурсов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указанными выше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способами),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по решению заказчика.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ind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10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.2.</w:t>
      </w: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по доставке оборудования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8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8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Методом анализа ТКП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8"/>
        </w:numPr>
        <w:ind w:left="0" w:firstLine="709"/>
        <w:jc w:val="both"/>
        <w:spacing w:before="40" w:after="40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размере до 3-х процентов от отпускной цены оборудования (при невозможности определить затраты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указанными выше способами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), по решению заказчика.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Если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tabs>
          <w:tab w:val="left" w:pos="850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9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2% - для материальных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ресурсов (кроме металлоконструкций);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9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0,75% - для металлоконструкций;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9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1,2% - для оборудования.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right="0" w:firstLine="709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и включаются в Главу 9 ССРСС.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0"/>
        <w:numPr>
          <w:ilvl w:val="0"/>
          <w:numId w:val="97"/>
        </w:numPr>
        <w:ind w:left="0" w:right="0" w:firstLine="709"/>
        <w:jc w:val="both"/>
        <w:tabs>
          <w:tab w:val="clear" w:pos="127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По предоставляемым грузоподъемным механизмам, учтенным в составе сметных норм и расценок: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80"/>
        <w:ind w:left="0"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</w:t>
      </w:r>
      <w:r>
        <w:rPr>
          <w:rFonts w:ascii="Times New Roman" w:hAnsi="Times New Roman" w:eastAsia="Times New Roman" w:cs="Times New Roman"/>
        </w:rPr>
        <w:tab/>
        <w:t xml:space="preserve">Исключать из норм и расценок предоставляемые грузоподъемные механизмы.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80"/>
        <w:ind w:left="0" w:firstLine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В случае использования подрядчиком собственных/арендованных механизмов полностью, либо частично, для </w:t>
      </w:r>
      <w:r>
        <w:rPr>
          <w:rFonts w:ascii="Times New Roman" w:hAnsi="Times New Roman" w:eastAsia="Times New Roman" w:cs="Times New Roman"/>
        </w:rPr>
        <w:t xml:space="preserve">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химочищенная, электроэнергия.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При формировании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eastAsia="Times New Roman" w:cs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применении коэффициенты перемножаются, результат округляется до семи знаков после запятой.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Затраты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нормативным методом с применением нормативов затрат на строительство титульных временных зданий и сооружений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, сведения о которых включены в ФРСН, расчетным методом - на основании ЛСР (ЛС) или калькуляций, в соответствии с данными ПОС. Порядок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расчета за возведенные временные здания и сооружения оговаривать в договоре подряда.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right="0" w:firstLine="709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формировании цены по сборникам ГЭСН (ГЭСНр, ГЭСНм, ГЭСНп) нормативы сметной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прибыли принимать на СМР – 40% от ФОТ, на ПНР – 36% от ФОТ.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</w:rPr>
        <w:tab/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eastAsia="Times New Roman" w:cs="Times New Roman"/>
          <w:sz w:val="22"/>
          <w:szCs w:val="22"/>
          <w:lang w:val="en-US"/>
        </w:rPr>
        <w:t xml:space="preserve">VII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.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Методики определения сметной стоимости строительства: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101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Затраты на проведение пусконаладочных работ «вхолостую» по объе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комплексного опробования оборудования), в сметной стоимости ПНР дополнительно могут учитываться: стоимость материальных, энергетических ресурсов,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сырья и полуфабрикатов, используемых при проведении ПНР «вхолостую».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101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Пусконаладочные работы «под нагрузкой»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для объектов производственного и непроизводственного назначения, связанных с получением дохода от реализации товаров (услуг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)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не относятся на сметную стоимость строительства и в сметной документации не учитываются.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ind w:firstLine="709"/>
        <w:jc w:val="both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</w:rPr>
      </w:r>
      <w:bookmarkStart w:id="0" w:name="undefined"/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24.1 При производстве СМР и ПНР лимиты командировочных расходов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на стадии расчетов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принимать в размере </w:t>
      </w:r>
      <w:r>
        <w:rPr>
          <w:rFonts w:ascii="Times New Roman" w:hAnsi="Times New Roman" w:eastAsia="Times New Roman" w:cs="Times New Roman"/>
          <w:color w:val="000000"/>
          <w:sz w:val="22"/>
          <w:szCs w:val="22"/>
          <w:u w:val="single"/>
        </w:rPr>
        <w:t xml:space="preserve">не более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: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100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суточные – 5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00 руб./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сутки;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100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проживание – 55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0 руб./сутки;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100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проезд: поезд (купе) или самолет (класс–эконом с багажом до 20 (двадцати) кг, ручная кладь до 10 (десяти) кг).</w:t>
      </w:r>
      <w:bookmarkEnd w:id="0"/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или складирования) и разгрузки строитель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eastAsia="Times New Roman" w:cs="Times New Roman"/>
        </w:rPr>
      </w:r>
      <w:bookmarkStart w:id="0" w:name="undefined"/>
      <w:r>
        <w:rPr>
          <w:rFonts w:ascii="Times New Roman" w:hAnsi="Times New Roman" w:eastAsia="Times New Roman" w:cs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ascii="Times New Roman" w:hAnsi="Times New Roman" w:eastAsia="Times New Roman" w:cs="Times New Roman"/>
          <w:b/>
          <w:sz w:val="22"/>
          <w:szCs w:val="22"/>
          <w:u w:val="single"/>
        </w:rPr>
        <w:t xml:space="preserve">округлять:</w:t>
      </w:r>
      <w:bookmarkEnd w:id="0"/>
      <w:r>
        <w:rPr>
          <w:rFonts w:ascii="Times New Roman" w:hAnsi="Times New Roman" w:eastAsia="Times New Roman" w:cs="Times New Roman"/>
          <w:b/>
          <w:sz w:val="22"/>
          <w:szCs w:val="22"/>
          <w:u w:val="single"/>
        </w:rPr>
      </w:r>
      <w:r>
        <w:rPr>
          <w:rFonts w:ascii="Times New Roman" w:hAnsi="Times New Roman" w:cs="Times New Roman"/>
          <w:b/>
          <w:sz w:val="22"/>
          <w:szCs w:val="22"/>
          <w:u w:val="single"/>
        </w:rPr>
      </w:r>
    </w:p>
    <w:p>
      <w:pPr>
        <w:pStyle w:val="1105"/>
        <w:numPr>
          <w:ilvl w:val="0"/>
          <w:numId w:val="102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базисно-индексном методе до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двух знаков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после запятой (до копеек);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102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в рублях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до целых единиц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102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рублях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до двух знаков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после запятой. Величину НДС не указывать.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Выходные формы сметных расчетов должны соответствовать Образцам по приложениям 1.5.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1"/>
          <w:numId w:val="97"/>
        </w:numPr>
        <w:ind w:left="0" w:right="0" w:firstLine="567"/>
        <w:jc w:val="both"/>
        <w:spacing w:before="40" w:after="40"/>
        <w:widowControl/>
        <w:tabs>
          <w:tab w:val="left" w:pos="567" w:leader="none"/>
          <w:tab w:val="left" w:pos="851" w:leader="none"/>
          <w:tab w:val="left" w:pos="1134" w:leader="none"/>
          <w:tab w:val="clear" w:pos="184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2"/>
          <w:numId w:val="97"/>
        </w:numPr>
        <w:ind w:left="0" w:right="0" w:firstLine="567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предоставляемой электроэнергии (в том числе, в составе стоимости машино-часа):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0"/>
        <w:numPr>
          <w:ilvl w:val="0"/>
          <w:numId w:val="103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Рассчитанная сумма возврата стоимост</w:t>
      </w:r>
      <w:r>
        <w:rPr>
          <w:rFonts w:ascii="Times New Roman" w:hAnsi="Times New Roman" w:eastAsia="Times New Roman" w:cs="Times New Roman"/>
        </w:rPr>
        <w:t xml:space="preserve">и электрической энергии (со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1104"/>
          <w:rFonts w:ascii="Times New Roman" w:hAnsi="Times New Roman" w:eastAsia="Times New Roman" w:cs="Times New Roman"/>
        </w:rPr>
        <w:footnoteReference w:id="3"/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80"/>
        <w:numPr>
          <w:ilvl w:val="0"/>
          <w:numId w:val="103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Индекс пересчета в текущие цены применять аналогичный примененному в сметной документации.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80"/>
        <w:numPr>
          <w:ilvl w:val="0"/>
          <w:numId w:val="103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5"/>
        <w:numPr>
          <w:ilvl w:val="2"/>
          <w:numId w:val="97"/>
        </w:numPr>
        <w:ind w:left="0" w:right="0" w:firstLine="567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По предоставляемому сжатому воздуху: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0"/>
        <w:numPr>
          <w:ilvl w:val="0"/>
          <w:numId w:val="104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Из норм и расценок исключать стоимость компрессоров.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5"/>
        <w:numPr>
          <w:ilvl w:val="0"/>
          <w:numId w:val="97"/>
        </w:numPr>
        <w:ind w:left="0" w:firstLine="709"/>
        <w:jc w:val="both"/>
        <w:spacing w:before="40" w:after="40"/>
        <w:widowControl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0"/>
        <w:numPr>
          <w:ilvl w:val="0"/>
          <w:numId w:val="105"/>
        </w:numPr>
        <w:contextualSpacing w:val="0"/>
        <w:ind w:left="-142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При наличии двух и более сметных расчетов составлять ССР в текущем уровне цен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по форме </w:t>
      </w:r>
      <w:r>
        <w:rPr>
          <w:rFonts w:ascii="Times New Roman" w:hAnsi="Times New Roman" w:eastAsia="Times New Roman" w:cs="Times New Roman"/>
          <w:color w:val="000000"/>
        </w:rPr>
        <w:t xml:space="preserve">Приложения </w:t>
      </w:r>
      <w:r>
        <w:rPr>
          <w:rFonts w:ascii="Times New Roman" w:hAnsi="Times New Roman" w:eastAsia="Times New Roman" w:cs="Times New Roman"/>
          <w:color w:val="000000"/>
        </w:rPr>
        <w:t xml:space="preserve">№ </w:t>
      </w:r>
      <w:r>
        <w:rPr>
          <w:rFonts w:ascii="Times New Roman" w:hAnsi="Times New Roman" w:eastAsia="Times New Roman" w:cs="Times New Roman"/>
          <w:color w:val="000000"/>
        </w:rPr>
        <w:t xml:space="preserve">1.1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</w:rPr>
        <w:t xml:space="preserve">.</w:t>
      </w:r>
      <w:r>
        <w:rPr>
          <w:rFonts w:ascii="Times New Roman" w:hAnsi="Times New Roman" w:eastAsia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pStyle w:val="1105"/>
        <w:numPr>
          <w:ilvl w:val="0"/>
          <w:numId w:val="105"/>
        </w:numPr>
        <w:ind w:left="0" w:right="0" w:firstLine="567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ЛСР (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ЛС) к основному договору и ко всем заключенным д/с к нему. В итогах ССР (справочно) указывать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105"/>
        </w:numPr>
        <w:ind w:left="0" w:right="0" w:firstLine="567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ЛСР (ЛС) разрабатываются отдельно на исключаемые и дополнительные объемы работ. К сме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105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105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105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В ССР, построчные и итоговые суммы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в рублях с округлением до двух знаков после запятой. Величину НДС не указывать.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105"/>
        <w:numPr>
          <w:ilvl w:val="0"/>
          <w:numId w:val="105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  <w:t xml:space="preserve">за итогом ССР.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 w:eastAsia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80"/>
        <w:numPr>
          <w:ilvl w:val="0"/>
          <w:numId w:val="105"/>
        </w:numPr>
        <w:contextualSpacing w:val="0"/>
        <w:ind w:left="0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Сметная</w:t>
      </w:r>
      <w:r>
        <w:rPr>
          <w:rFonts w:ascii="Times New Roman" w:hAnsi="Times New Roman" w:eastAsia="Times New Roman" w:cs="Times New Roman"/>
        </w:rPr>
        <w:t xml:space="preserve"> документация должна быть представлена в двух вариантах: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05"/>
        <w:numPr>
          <w:ilvl w:val="0"/>
          <w:numId w:val="100"/>
        </w:numPr>
        <w:jc w:val="both"/>
        <w:spacing w:before="40" w:after="40"/>
        <w:tabs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бумажном носителе (количество указано в конкурсной документации) Образец ЛСР в соответствии с приложением № 1.5 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 составе рабочей документации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;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100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на электронном носителе (в формате «xml» ПК «Гранд-Смета», «Excel», «pdf»),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полностью соответствующему, бумажному варианту. Сметная документация в формате «Exce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l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105"/>
        <w:numPr>
          <w:ilvl w:val="0"/>
          <w:numId w:val="100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в формате ПК «Гранд-смета» выходная форма для печати указана ниже: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5811"/>
        <w:rPr>
          <w:rFonts w:ascii="Times New Roman" w:hAnsi="Times New Roman" w:cs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yellow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highlight w:val="yellow"/>
        </w:rPr>
      </w:r>
      <w:r>
        <w:rPr>
          <w:rFonts w:ascii="Times New Roman" w:hAnsi="Times New Roman" w:cs="Times New Roman"/>
          <w:color w:val="000000"/>
          <w:sz w:val="20"/>
          <w:szCs w:val="20"/>
          <w:highlight w:val="yellow"/>
        </w:rPr>
      </w:r>
    </w:p>
    <w:tbl>
      <w:tblPr>
        <w:tblStyle w:val="1086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291232" cy="3355451"/>
                      <wp:effectExtent l="0" t="0" r="4445" b="0"/>
                      <wp:docPr id="1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636178930" name="Рисунок 2" descr="cid:image001.jpg@01D771AB.FE884A1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rcRect l="0" t="0" r="45819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color w:val="000000"/>
                <w:sz w:val="20"/>
                <w:szCs w:val="20"/>
                <w:highlight w:val="yellow"/>
              </w:rPr>
            </w:r>
            <w:r>
              <w:rPr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W w:w="4957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object w:dxaOrig="4605" w:dyaOrig="5175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" o:spid="_x0000_s1" type="#_x0000_t75" style="width:228.00pt;height:258.00pt;mso-wrap-distance-left:0.00pt;mso-wrap-distance-top:0.00pt;mso-wrap-distance-right:0.00pt;mso-wrap-distance-bottom:0.00pt;" filled="f" stroked="f">
                  <v:path textboxrect="0,0,0,0"/>
                  <v:imagedata r:id="rId12" o:title=""/>
                </v:shape>
                <o:OLEObject DrawAspect="Content" r:id="rId13" ObjectID="_1525041" ProgID="PBrush" ShapeID="_x0000_i1" Type="Embed"/>
              </w:object>
            </w:r>
            <w:r>
              <w:rPr>
                <w:color w:val="000000"/>
                <w:sz w:val="20"/>
                <w:szCs w:val="20"/>
                <w:highlight w:val="yellow"/>
              </w:rPr>
            </w:r>
            <w:r>
              <w:rPr>
                <w:color w:val="000000"/>
                <w:sz w:val="20"/>
                <w:szCs w:val="20"/>
                <w:highlight w:val="yellow"/>
              </w:rPr>
            </w:r>
          </w:p>
        </w:tc>
      </w:tr>
    </w:tbl>
    <w:p>
      <w:pPr>
        <w:pStyle w:val="1105"/>
        <w:ind w:left="567" w:firstLine="0"/>
        <w:jc w:val="both"/>
        <w:widowControl/>
        <w:rPr>
          <w:rFonts w:ascii="Times New Roman" w:hAnsi="Times New Roman" w:cs="Times New Roman"/>
          <w:sz w:val="22"/>
          <w:szCs w:val="22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80"/>
        <w:ind w:left="928" w:right="666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№1.1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1105"/>
        <w:ind w:left="928" w:right="666" w:firstLine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18"/>
          <w:szCs w:val="1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blPrEx/>
        <w:trPr>
          <w:gridAfter w:val="2"/>
          <w:trHeight w:val="312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22"/>
                <w:szCs w:val="22"/>
              </w:rPr>
              <w:t xml:space="preserve">ОБРАЗЕЦ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51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Приложение __ от ______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к Договору № _________ от ______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СОГЛАСОВАНО: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8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УТВЕРЖДАЮ: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___________________ФИО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8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___________________ФИО    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"_______" _____________ 20___ г.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8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"______" ____________________ 20__ г.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6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11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Сводный сметный расчет в сумме:______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руб. 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2"/>
          <w:trHeight w:val="14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8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СВОДНЫЙ СМЕТНЫЙ РАСЧЕТ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2"/>
          <w:trHeight w:val="108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1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020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8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(наименование стройки)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1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7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2"/>
          <w:trHeight w:val="2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Номера сметных расчетов и смет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Сметная стоимость, руб.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Общая сметная стоимость, руб.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2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4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строительных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монтажных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оборудования, мебели, инвентаря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прочих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Глава 2. Основные объекты строительства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02-01-01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…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42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Итого по Главе 2. "Основные объекты строительства"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Итого по Главам 1-12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1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Непредвиденные затраты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9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Итого с учетом "Непредвиденные затраты"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6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Итого по сводному расчету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Составил: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2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6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(должность, подпись, расшифровка)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Проверил: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2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4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7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(должность, подпись, расшифровка)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</w:tr>
    </w:tbl>
    <w:p>
      <w:pPr>
        <w:pStyle w:val="1080"/>
        <w:ind w:left="92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eastAsia="Times New Roman" w:cs="Times New Roman"/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89660" cy="678180"/>
                <wp:effectExtent l="0" t="0" r="0" b="0"/>
                <wp:docPr id="3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>
                          <a:off x="0" y="0"/>
                          <a:ext cx="1089660" cy="67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85.80pt;height:53.40pt;mso-wrap-distance-left:0.00pt;mso-wrap-distance-top:0.00pt;mso-wrap-distance-right:0.00pt;mso-wrap-distance-bottom:0.00pt;" stroked="f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18"/>
          <w:szCs w:val="18"/>
        </w:rPr>
      </w:r>
    </w:p>
    <w:p>
      <w:pPr>
        <w:pStyle w:val="1105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ОБРАЗЕЦ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864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Приложение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№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1.2 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1105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2"/>
          <w:szCs w:val="22"/>
        </w:rPr>
        <w:t xml:space="preserve">к 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в</w:t>
      </w: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</w:rPr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>
        <w:tblPrEx/>
        <w:trPr>
          <w:trHeight w:val="78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СОГЛАСОВАНО: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10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УТВЕРЖДАЮ: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_______________ ФИО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10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________________ФИО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"___" _____________ 20__ г.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10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"___" _____________ 20__ г.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1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5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9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Сводный сметный расчет в сумме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руб. без НДС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1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59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СВОДНЫЙ СМЕТНЫЙ РАСЧЕТ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18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234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7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               (наименование стройки)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1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68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6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Номера сметных расчетов и смет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глав, объектов, работ и затрат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1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55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Сметная стоимость, руб.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ind w:lef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Общая сметная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ind w:lef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стоимость, руб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строитель-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br/>
              <w:t xml:space="preserve">ных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монтажных работ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оборудования, мебели, инвентаря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прочих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Глава 2. Основные объекты 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Сметы основного договора: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№02-01-01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№02-01-02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Исключить дополнительным соглашением №___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№02-01-02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40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Итого исключено Дополнительным соглашением №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435"/>
        </w:trPr>
        <w:tc>
          <w:tcPr>
            <w:gridSpan w:val="22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Включить дополнительным соглашением №____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7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№02-01-02/1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3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Итого включено Дополнительным соглашением №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22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Итого по Главе 2. "Основные объекты"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Всего по сводному сметному расчету, без учета НДС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сумма основного договора (без НДС)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77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ДС №___ от ___.__.20___г.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0  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Составил: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(должность, подпись, расшифровка)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Проверил: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(должность, подпись, расшифровка)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r>
          </w:p>
        </w:tc>
      </w:tr>
    </w:tbl>
    <w:p>
      <w:pPr>
        <w:pStyle w:val="110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0600" cy="609600"/>
                <wp:effectExtent l="0" t="0" r="0" b="0"/>
                <wp:docPr id="4" name="_x0000_i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990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78.00pt;height:48.00pt;mso-wrap-distance-left:0.00pt;mso-wrap-distance-top:0.00pt;mso-wrap-distance-right:0.00pt;mso-wrap-distance-bottom:0.00pt;" stroked="f">
                <v:path textboxrect="0,0,0,0"/>
                <v:imagedata r:id="rId15" o:title=""/>
              </v:shape>
            </w:pict>
          </mc:Fallback>
        </mc:AlternateConten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pStyle w:val="1105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b/>
        </w:rPr>
      </w:pPr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Start w:id="0" w:name="undefined"/>
      <w:r/>
      <w:bookmarkEnd w:id="0"/>
      <w:r>
        <w:rPr>
          <w:b/>
        </w:rPr>
      </w:r>
      <w:r>
        <w:rPr>
          <w:b/>
        </w:rPr>
      </w:r>
    </w:p>
    <w:p>
      <w:pPr>
        <w:ind w:left="426" w:hanging="42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ОБРАЗЕЦ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581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№1.3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1105"/>
        <w:ind w:left="5811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pStyle w:val="1105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pStyle w:val="1105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pStyle w:val="1105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pStyle w:val="1105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дополнительному соглашению от ___ № 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pStyle w:val="1105"/>
        <w:ind w:left="58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к договору от_______№_____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pStyle w:val="110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Сопоставительная ведомость изменения сметной стоимости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widowControl w:val="off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tbl>
      <w:tblPr>
        <w:tblW w:w="10206" w:type="dxa"/>
        <w:tblInd w:w="4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blPrEx/>
        <w:trPr>
          <w:trHeight w:val="433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3"/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Данные сметного расчета (сметы)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Сметная стоимость, тыс. руб.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Разница в сметной стоимости, руб.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Обоснование изменений сметной стоимости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шифр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позиции сметного расчета (сметы) в ССР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подлежащая включению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подлежащая исключению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jc w:val="both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35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35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№1.4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1105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составлению сметной документации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pStyle w:val="1105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pStyle w:val="1105"/>
        <w:ind w:left="581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дополнительному соглашению от ___ № 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pStyle w:val="1105"/>
        <w:ind w:left="581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договору от_______№_____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5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Сопоставительная ведомость объемов работ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</w:rPr>
      </w:r>
    </w:p>
    <w:p>
      <w:pPr>
        <w:pStyle w:val="110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</w:rPr>
      </w:r>
    </w:p>
    <w:tbl>
      <w:tblPr>
        <w:tblW w:w="10773" w:type="dxa"/>
        <w:tblInd w:w="2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blPrEx/>
        <w:trPr>
          <w:trHeight w:val="880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pStyle w:val="1105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№№ 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W w:w="3686" w:type="dxa"/>
            <w:textDirection w:val="lrTb"/>
            <w:noWrap w:val="false"/>
          </w:tcPr>
          <w:p>
            <w:pPr>
              <w:pStyle w:val="110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Данные сметного расчета (сметы)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 работ и затрат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105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Ед. изм.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pStyle w:val="110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 работ в сметной документации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restart"/>
            <w:textDirection w:val="lrTb"/>
            <w:noWrap w:val="false"/>
          </w:tcPr>
          <w:p>
            <w:pPr>
              <w:pStyle w:val="110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Изменение объемов работ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Обоснование изменений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05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Примечание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207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105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шифр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105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10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позиции в сметном расчете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  <w:tr>
        <w:tblPrEx/>
        <w:trPr>
          <w:trHeight w:val="1308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105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 изменений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105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учетом изменений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5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 изменений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105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 учетом изменений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05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105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105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снижение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W w:w="425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pStyle w:val="1105"/>
        <w:jc w:val="both"/>
        <w:rPr>
          <w:rFonts w:ascii="Times New Roman" w:hAnsi="Times New Roman" w:cs="Times New Roman"/>
          <w:sz w:val="24"/>
          <w:szCs w:val="24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1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Приложение№1.5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firstLine="1034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составлению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10348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сметной документации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0"/>
          <w:szCs w:val="20"/>
        </w:rPr>
      </w:r>
    </w:p>
    <w:p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ОБРАЗЕЦ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0"/>
          <w:szCs w:val="20"/>
        </w:rPr>
      </w:r>
    </w:p>
    <w:p>
      <w:pPr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>
        <w:tblPrEx/>
        <w:trPr>
          <w:trHeight w:val="285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СОГЛАСОВАНО: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УТВЕРЖДАЮ: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"_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____" _____________2021 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"_____" ________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2021 г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Наименование редакции сметных нормативов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11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Наименование программного продукта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ПК "ГРАНД-Смета 2021"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6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(наименование стройки)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(наименование объекта капитального строительства)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(наименование конструктивного решения)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Составлен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методом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6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Основание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5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(проектная и (или) иная техническая документация)</w:t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Составлен(а) в текущем (базисном) уровне цен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соответст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ующих периоду выполнения работ по договору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Сметная стоимость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тыс.руб.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строительных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тыс.руб.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Средства на оплату труда рабочих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тыс.руб.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монтажных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тыс.руб.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Нормативные затраты труда рабочих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чел.час.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оборудования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тыс.руб.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Нормативные затраты труда машинистов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чел.час.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прочих затрат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тыс.руб.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Расчетный измеритель конструктивного решения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5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Обоснование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Наименование работ и затрат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Единица измерения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Количество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Сметная стоимость в базисном уровне цен (в текущем уровне цен (гр. 8) для ресурсов, отсутствующих в СНБ), руб.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Индексы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Сметная стоимость в текущем уровне цен, руб.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 единицу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коэффициенты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всего с учетом коэффициентов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на единицу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коэффициенты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</w:tr>
    </w:tbl>
    <w:p>
      <w:pPr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r>
      <w:r>
        <w:rPr>
          <w:rFonts w:ascii="Times New Roman" w:hAnsi="Times New Roman" w:cs="Times New Roman"/>
          <w:b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6373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5811"/>
        <w:jc w:val="right"/>
        <w:rPr>
          <w:rFonts w:ascii="Times New Roman" w:hAnsi="Times New Roman" w:cs="Times New Roman"/>
          <w:color w:val="000000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left="581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eastAsia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Образец расчета командировочных расходов 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</w:rPr>
      </w:r>
    </w:p>
    <w:p>
      <w:pPr>
        <w:ind w:hanging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 __ к смете № 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hanging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Расчет командировочных расходов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</w:rPr>
      </w:r>
    </w:p>
    <w:tbl>
      <w:tblPr>
        <w:tblW w:w="1066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4"/>
        <w:gridCol w:w="992"/>
        <w:gridCol w:w="705"/>
        <w:gridCol w:w="1276"/>
        <w:gridCol w:w="708"/>
        <w:gridCol w:w="1443"/>
        <w:gridCol w:w="1308"/>
        <w:gridCol w:w="935"/>
        <w:gridCol w:w="1134"/>
        <w:gridCol w:w="1559"/>
      </w:tblGrid>
      <w:tr>
        <w:tblPrEx/>
        <w:trPr/>
        <w:tc>
          <w:tcPr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Пункт назначения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(туда / обратно)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 транспорта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Стоимость проезда, руб. (без НДС)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Кол-во дней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Стоимость суточных, руб./сут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Стоимость проживания, руб./сут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Кол-во командировок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Кол-во командированных человек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 стоимость командировочных расходов, руб.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br/>
              <w:t xml:space="preserve">(без НДС)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9"/>
            <w:shd w:val="clear" w:color="ffffff" w:fill="ffffff"/>
            <w:tcW w:w="10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пункта 1 в пункт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пункта 1 в пункт 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пункта 2 в пункт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пункта 4 в пункт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8"/>
            <w:shd w:val="clear" w:color="ffffff" w:fill="ffffff"/>
            <w:tcW w:w="85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 стоимость командировочных расходов из пункта 1 в пункт 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9"/>
            <w:shd w:val="clear" w:color="ffffff" w:fill="ffffff"/>
            <w:tcW w:w="1006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пункта 5 в пункт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пункта 5 в пункт 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9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пункта 4 в пункт 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…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59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 пункта 2 в пункт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0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93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8"/>
            <w:shd w:val="clear" w:color="ffffff" w:fill="ffffff"/>
            <w:tcW w:w="85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Итого стоимость командировочных расходов из пункта 5 в пункт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601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8"/>
            <w:shd w:val="clear" w:color="ffffff" w:fill="ffffff"/>
            <w:tcW w:w="85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 стоимость командировочных расходов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sectPr>
          <w:footnotePr/>
          <w:endnotePr/>
          <w:type w:val="nextPage"/>
          <w:pgSz w:w="11906" w:h="16838" w:orient="portrait"/>
          <w:pgMar w:top="567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bCs/>
          <w:i/>
          <w:iCs/>
          <w:sz w:val="24"/>
          <w:szCs w:val="24"/>
          <w:shd w:val="clear" w:color="auto" w:fill="ffff99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67740" cy="632460"/>
                <wp:effectExtent l="0" t="0" r="0" b="0"/>
                <wp:docPr id="5" name="_x0000_i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967740" cy="6324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76.20pt;height:49.80pt;mso-wrap-distance-left:0.00pt;mso-wrap-distance-top:0.00pt;mso-wrap-distance-right:0.00pt;mso-wrap-distance-bottom:0.00pt;" stroked="f">
                <v:path textboxrect="0,0,0,0"/>
                <v:imagedata r:id="rId16" o:title=""/>
              </v:shape>
            </w:pict>
          </mc:Fallback>
        </mc:AlternateContent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p>
      <w:pPr>
        <w:ind w:firstLine="360"/>
        <w:jc w:val="center"/>
        <w:spacing w:after="0" w:line="240" w:lineRule="auto"/>
        <w:shd w:val="clear" w:color="auto" w:fill="ffffff" w:themeFill="background1"/>
        <w:tabs>
          <w:tab w:val="left" w:pos="900" w:leader="none"/>
        </w:tabs>
        <w:rPr>
          <w:rFonts w:ascii="Times New Roman" w:hAnsi="Times New Roman"/>
          <w:highlight w:val="none"/>
        </w:rPr>
      </w:pP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  <w:r>
        <w:rPr>
          <w:rFonts w:ascii="Times New Roman" w:hAnsi="Times New Roman"/>
          <w:highlight w:val="none"/>
        </w:rPr>
      </w:r>
    </w:p>
    <w:sectPr>
      <w:footerReference w:type="default" r:id="rId9"/>
      <w:footnotePr>
        <w:numRestart w:val="eachPage"/>
      </w:footnotePr>
      <w:endnotePr/>
      <w:type w:val="nextPage"/>
      <w:pgSz w:w="11906" w:h="16838" w:orient="portrait"/>
      <w:pgMar w:top="851" w:right="924" w:bottom="720" w:left="130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Garamond">
    <w:panose1 w:val="02020603050405020304"/>
  </w:font>
  <w:font w:name="Verdana">
    <w:panose1 w:val="020B0604030504040204"/>
  </w:font>
  <w:font w:name="MS Mincho">
    <w:panose1 w:val="02020603050405090304"/>
  </w:font>
  <w:font w:name="Tahoma">
    <w:panose1 w:val="020B0604030504040204"/>
  </w:font>
  <w:font w:name="Cambria">
    <w:panose1 w:val="020408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514947176"/>
      <w:docPartObj>
        <w:docPartGallery w:val="Page Numbers (Bottom of Page)"/>
        <w:docPartUnique w:val="true"/>
      </w:docPartObj>
      <w:rPr/>
    </w:sdtPr>
    <w:sdtContent>
      <w:p>
        <w:pPr>
          <w:pStyle w:val="1111"/>
          <w:jc w:val="center"/>
        </w:pPr>
        <w:r>
          <w:fldChar w:fldCharType="begin"/>
        </w:r>
        <w:r>
          <w:instrText xml:space="preserve">PAGE</w:instrText>
        </w:r>
        <w:r>
          <w:fldChar w:fldCharType="separate"/>
        </w:r>
        <w:r>
          <w:t xml:space="preserve">31</w:t>
        </w:r>
        <w:r>
          <w:fldChar w:fldCharType="end"/>
        </w:r>
        <w:r/>
      </w:p>
      <w:p>
        <w:pPr>
          <w:pStyle w:val="1111"/>
        </w:pPr>
        <w:r/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  <w:footnote w:id="3">
    <w:p>
      <w:pPr>
        <w:pStyle w:val="1102"/>
        <w:jc w:val="both"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2509" w:hanging="360"/>
      </w:pPr>
      <w:rPr>
        <w:rFonts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1440" w:hanging="360"/>
      </w:pPr>
      <w:rPr>
        <w:rFonts w:hint="default"/>
      </w:rPr>
    </w:lvl>
    <w:lvl w:ilvl="2">
      <w:start w:val="3"/>
      <w:numFmt w:val="decimal"/>
      <w:isLgl w:val="false"/>
      <w:suff w:val="tab"/>
      <w:lvlText w:val="%3."/>
      <w:lvlJc w:val="left"/>
      <w:pPr>
        <w:ind w:left="2340" w:hanging="360"/>
      </w:pPr>
      <w:rPr>
        <w:rFonts w:hint="default"/>
      </w:rPr>
    </w:lvl>
    <w:lvl w:ilvl="3">
      <w:start w:val="10"/>
      <w:numFmt w:val="decimal"/>
      <w:isLgl w:val="false"/>
      <w:suff w:val="tab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4"/>
        <w:szCs w:val="24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color w:val="auto"/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  <w:tabs>
          <w:tab w:val="num" w:pos="17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  <w:tabs>
          <w:tab w:val="num" w:pos="25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  <w:tabs>
          <w:tab w:val="num" w:pos="32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  <w:tabs>
          <w:tab w:val="num" w:pos="39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  <w:tabs>
          <w:tab w:val="num" w:pos="46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  <w:tabs>
          <w:tab w:val="num" w:pos="53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  <w:tabs>
          <w:tab w:val="num" w:pos="61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  <w:tabs>
          <w:tab w:val="num" w:pos="6830" w:leader="none"/>
        </w:tabs>
      </w:pPr>
    </w:lvl>
  </w:abstractNum>
  <w:abstractNum w:abstractNumId="12">
    <w:multiLevelType w:val="hybridMultilevel"/>
    <w:lvl w:ilvl="0">
      <w:start w:val="1"/>
      <w:numFmt w:val="decimal"/>
      <w:pStyle w:val="114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150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  <w:color w:val="auto"/>
      </w:rPr>
    </w:lvl>
    <w:lvl w:ilvl="2">
      <w:start w:val="1"/>
      <w:numFmt w:val="decimal"/>
      <w:pStyle w:val="1148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 w:ascii="Garamond" w:hAnsi="Garamond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  <w:tabs>
          <w:tab w:val="num" w:pos="17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  <w:tabs>
          <w:tab w:val="num" w:pos="25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  <w:tabs>
          <w:tab w:val="num" w:pos="32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  <w:tabs>
          <w:tab w:val="num" w:pos="39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  <w:tabs>
          <w:tab w:val="num" w:pos="46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  <w:tabs>
          <w:tab w:val="num" w:pos="53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  <w:tabs>
          <w:tab w:val="num" w:pos="61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  <w:tabs>
          <w:tab w:val="num" w:pos="683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00" w:hanging="360"/>
      </w:pPr>
      <w:rPr>
        <w:rFonts w:hint="default" w:ascii="Symbol" w:hAnsi="Symbol"/>
        <w:color w:val="000000" w:themeColor="text1"/>
      </w:rPr>
    </w:lvl>
    <w:lvl w:ilvl="1">
      <w:start w:val="1"/>
      <w:numFmt w:val="bullet"/>
      <w:isLgl w:val="false"/>
      <w:suff w:val="tab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  <w:b w:val="0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0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2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4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6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8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0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2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4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63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8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pStyle w:val="1168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ascii="Times New Roman" w:hAnsi="Times New Roman"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418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5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56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5" w:hanging="360"/>
        <w:tabs>
          <w:tab w:val="num" w:pos="1495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"/>
      <w:lvlJc w:val="left"/>
      <w:pPr>
        <w:ind w:left="2007" w:hanging="360"/>
        <w:tabs>
          <w:tab w:val="num" w:pos="2007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  <w:tabs>
          <w:tab w:val="num" w:pos="272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  <w:tabs>
          <w:tab w:val="num" w:pos="344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  <w:tabs>
          <w:tab w:val="num" w:pos="416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  <w:tabs>
          <w:tab w:val="num" w:pos="488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  <w:tabs>
          <w:tab w:val="num" w:pos="560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  <w:tabs>
          <w:tab w:val="num" w:pos="632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  <w:tabs>
          <w:tab w:val="num" w:pos="7047" w:leader="none"/>
        </w:tabs>
      </w:pPr>
    </w:lvl>
  </w:abstractNum>
  <w:abstractNum w:abstractNumId="59">
    <w:multiLevelType w:val="hybridMultilevel"/>
    <w:lvl w:ilvl="0">
      <w:start w:val="1"/>
      <w:numFmt w:val="decimal"/>
      <w:pStyle w:val="1094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pStyle w:val="1090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pStyle w:val="1091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pStyle w:val="1092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pStyle w:val="1093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64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sz w:val="22"/>
        <w:szCs w:val="22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66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57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3" w:hanging="360"/>
        <w:tabs>
          <w:tab w:val="num" w:pos="1713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43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15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87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59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1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03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75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473" w:hanging="180"/>
      </w:p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47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  <w:b w:val="0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  <w:tabs>
          <w:tab w:val="num" w:pos="17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  <w:tabs>
          <w:tab w:val="num" w:pos="25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  <w:tabs>
          <w:tab w:val="num" w:pos="32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  <w:tabs>
          <w:tab w:val="num" w:pos="39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  <w:tabs>
          <w:tab w:val="num" w:pos="46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  <w:tabs>
          <w:tab w:val="num" w:pos="53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  <w:tabs>
          <w:tab w:val="num" w:pos="61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  <w:tabs>
          <w:tab w:val="num" w:pos="6830" w:leader="none"/>
        </w:tabs>
      </w:pPr>
    </w:lvl>
  </w:abstractNum>
  <w:abstractNum w:abstractNumId="7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70" w:hanging="360"/>
      </w:pPr>
      <w:rPr>
        <w:rFonts w:hint="default" w:ascii="Symbol" w:hAnsi="Symbol"/>
        <w:b w:val="0"/>
      </w:rPr>
    </w:lvl>
    <w:lvl w:ilvl="1">
      <w:start w:val="1"/>
      <w:numFmt w:val="decimal"/>
      <w:isLgl/>
      <w:suff w:val="tab"/>
      <w:lvlText w:val="%1.%2"/>
      <w:lvlJc w:val="left"/>
      <w:pPr>
        <w:ind w:left="1070" w:hanging="360"/>
      </w:pPr>
      <w:rPr>
        <w:rFonts w:hint="default" w:ascii="Times New Roman" w:hAnsi="Times New Roman" w:cs="Times New Roman"/>
      </w:rPr>
    </w:lvl>
    <w:lvl w:ilvl="2">
      <w:start w:val="1"/>
      <w:numFmt w:val="decimal"/>
      <w:isLgl/>
      <w:suff w:val="tab"/>
      <w:lvlText w:val="%1.%2.%3"/>
      <w:lvlJc w:val="left"/>
      <w:pPr>
        <w:ind w:left="2346" w:hanging="720"/>
      </w:pPr>
      <w:rPr>
        <w:rFonts w:hint="default" w:ascii="Times New Roman" w:hAnsi="Times New Roman" w:cs="Times New Roman"/>
      </w:rPr>
    </w:lvl>
    <w:lvl w:ilvl="3">
      <w:start w:val="1"/>
      <w:numFmt w:val="decimal"/>
      <w:isLgl/>
      <w:suff w:val="tab"/>
      <w:lvlText w:val="%1.%2.%3.%4"/>
      <w:lvlJc w:val="left"/>
      <w:pPr>
        <w:ind w:left="2979" w:hanging="720"/>
      </w:pPr>
      <w:rPr>
        <w:rFonts w:hint="default" w:ascii="Times New Roman" w:hAnsi="Times New Roman" w:cs="Times New Roman"/>
      </w:rPr>
    </w:lvl>
    <w:lvl w:ilvl="4">
      <w:start w:val="1"/>
      <w:numFmt w:val="decimal"/>
      <w:isLgl/>
      <w:suff w:val="tab"/>
      <w:lvlText w:val="%1.%2.%3.%4.%5"/>
      <w:lvlJc w:val="left"/>
      <w:pPr>
        <w:ind w:left="3972" w:hanging="1080"/>
      </w:pPr>
      <w:rPr>
        <w:rFonts w:hint="default" w:ascii="Times New Roman" w:hAnsi="Times New Roman" w:cs="Times New Roman"/>
      </w:rPr>
    </w:lvl>
    <w:lvl w:ilvl="5">
      <w:start w:val="1"/>
      <w:numFmt w:val="decimal"/>
      <w:isLgl/>
      <w:suff w:val="tab"/>
      <w:lvlText w:val="%1.%2.%3.%4.%5.%6"/>
      <w:lvlJc w:val="left"/>
      <w:pPr>
        <w:ind w:left="4605" w:hanging="1080"/>
      </w:pPr>
      <w:rPr>
        <w:rFonts w:hint="default" w:ascii="Times New Roman" w:hAnsi="Times New Roman" w:cs="Times New Roman"/>
      </w:rPr>
    </w:lvl>
    <w:lvl w:ilvl="6">
      <w:start w:val="1"/>
      <w:numFmt w:val="decimal"/>
      <w:isLgl/>
      <w:suff w:val="tab"/>
      <w:lvlText w:val="%1.%2.%3.%4.%5.%6.%7"/>
      <w:lvlJc w:val="left"/>
      <w:pPr>
        <w:ind w:left="5598" w:hanging="1440"/>
      </w:pPr>
      <w:rPr>
        <w:rFonts w:hint="default" w:ascii="Times New Roman" w:hAnsi="Times New Roman" w:cs="Times New Roman"/>
      </w:rPr>
    </w:lvl>
    <w:lvl w:ilvl="7">
      <w:start w:val="1"/>
      <w:numFmt w:val="decimal"/>
      <w:isLgl/>
      <w:suff w:val="tab"/>
      <w:lvlText w:val="%1.%2.%3.%4.%5.%6.%7.%8"/>
      <w:lvlJc w:val="left"/>
      <w:pPr>
        <w:ind w:left="6231" w:hanging="1440"/>
      </w:pPr>
      <w:rPr>
        <w:rFonts w:hint="default" w:ascii="Times New Roman" w:hAnsi="Times New Roman" w:cs="Times New Roman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6864" w:hanging="1440"/>
      </w:pPr>
      <w:rPr>
        <w:rFonts w:hint="default" w:ascii="Times New Roman" w:hAnsi="Times New Roman" w:cs="Times New Roman"/>
      </w:rPr>
    </w:lvl>
  </w:abstractNum>
  <w:abstractNum w:abstractNumId="7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isLgl w:val="false"/>
      <w:suff w:val="tab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86" w:hanging="360"/>
      </w:pPr>
      <w:rPr>
        <w:rFonts w:hint="default" w:ascii="Symbol" w:hAnsi="Symbol"/>
        <w:b w:val="0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5" w:hanging="432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82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8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9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4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9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9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9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9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3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num w:numId="1">
    <w:abstractNumId w:val="59"/>
  </w:num>
  <w:num w:numId="2">
    <w:abstractNumId w:val="58"/>
  </w:num>
  <w:num w:numId="3">
    <w:abstractNumId w:val="11"/>
  </w:num>
  <w:num w:numId="4">
    <w:abstractNumId w:val="41"/>
  </w:num>
  <w:num w:numId="5">
    <w:abstractNumId w:val="12"/>
  </w:num>
  <w:num w:numId="6">
    <w:abstractNumId w:val="16"/>
  </w:num>
  <w:num w:numId="7">
    <w:abstractNumId w:val="81"/>
  </w:num>
  <w:num w:numId="8">
    <w:abstractNumId w:val="50"/>
  </w:num>
  <w:num w:numId="9">
    <w:abstractNumId w:val="77"/>
  </w:num>
  <w:num w:numId="10">
    <w:abstractNumId w:val="4"/>
  </w:num>
  <w:num w:numId="11">
    <w:abstractNumId w:val="36"/>
  </w:num>
  <w:num w:numId="12">
    <w:abstractNumId w:val="47"/>
  </w:num>
  <w:num w:numId="13">
    <w:abstractNumId w:val="52"/>
  </w:num>
  <w:num w:numId="14">
    <w:abstractNumId w:val="8"/>
  </w:num>
  <w:num w:numId="15">
    <w:abstractNumId w:val="7"/>
  </w:num>
  <w:num w:numId="16">
    <w:abstractNumId w:val="72"/>
  </w:num>
  <w:num w:numId="17">
    <w:abstractNumId w:val="69"/>
  </w:num>
  <w:num w:numId="18">
    <w:abstractNumId w:val="6"/>
  </w:num>
  <w:num w:numId="19">
    <w:abstractNumId w:val="25"/>
  </w:num>
  <w:num w:numId="20">
    <w:abstractNumId w:val="57"/>
  </w:num>
  <w:num w:numId="21">
    <w:abstractNumId w:val="37"/>
  </w:num>
  <w:num w:numId="22">
    <w:abstractNumId w:val="30"/>
  </w:num>
  <w:num w:numId="23">
    <w:abstractNumId w:val="35"/>
  </w:num>
  <w:num w:numId="24">
    <w:abstractNumId w:val="28"/>
  </w:num>
  <w:num w:numId="25">
    <w:abstractNumId w:val="39"/>
  </w:num>
  <w:num w:numId="26">
    <w:abstractNumId w:val="44"/>
  </w:num>
  <w:num w:numId="27">
    <w:abstractNumId w:val="62"/>
  </w:num>
  <w:num w:numId="28">
    <w:abstractNumId w:val="67"/>
  </w:num>
  <w:num w:numId="29">
    <w:abstractNumId w:val="3"/>
  </w:num>
  <w:num w:numId="30">
    <w:abstractNumId w:val="63"/>
  </w:num>
  <w:num w:numId="31">
    <w:abstractNumId w:val="54"/>
  </w:num>
  <w:num w:numId="32">
    <w:abstractNumId w:val="71"/>
  </w:num>
  <w:num w:numId="33">
    <w:abstractNumId w:val="43"/>
  </w:num>
  <w:num w:numId="34">
    <w:abstractNumId w:val="68"/>
  </w:num>
  <w:num w:numId="35">
    <w:abstractNumId w:val="5"/>
  </w:num>
  <w:num w:numId="36">
    <w:abstractNumId w:val="2"/>
  </w:num>
  <w:num w:numId="37">
    <w:abstractNumId w:val="60"/>
  </w:num>
  <w:num w:numId="38">
    <w:abstractNumId w:val="70"/>
  </w:num>
  <w:num w:numId="39">
    <w:abstractNumId w:val="0"/>
  </w:num>
  <w:num w:numId="40">
    <w:abstractNumId w:val="73"/>
  </w:num>
  <w:num w:numId="41">
    <w:abstractNumId w:val="75"/>
  </w:num>
  <w:num w:numId="42">
    <w:abstractNumId w:val="20"/>
  </w:num>
  <w:num w:numId="43">
    <w:abstractNumId w:val="49"/>
  </w:num>
  <w:num w:numId="44">
    <w:abstractNumId w:val="79"/>
  </w:num>
  <w:num w:numId="45">
    <w:abstractNumId w:val="56"/>
  </w:num>
  <w:num w:numId="46">
    <w:abstractNumId w:val="29"/>
  </w:num>
  <w:num w:numId="47">
    <w:abstractNumId w:val="22"/>
  </w:num>
  <w:num w:numId="48">
    <w:abstractNumId w:val="27"/>
  </w:num>
  <w:num w:numId="49">
    <w:abstractNumId w:val="74"/>
  </w:num>
  <w:num w:numId="50">
    <w:abstractNumId w:val="1"/>
  </w:num>
  <w:num w:numId="51">
    <w:abstractNumId w:val="66"/>
  </w:num>
  <w:num w:numId="52">
    <w:abstractNumId w:val="18"/>
  </w:num>
  <w:num w:numId="53">
    <w:abstractNumId w:val="45"/>
  </w:num>
  <w:num w:numId="54">
    <w:abstractNumId w:val="64"/>
  </w:num>
  <w:num w:numId="55">
    <w:abstractNumId w:val="23"/>
  </w:num>
  <w:num w:numId="56">
    <w:abstractNumId w:val="65"/>
  </w:num>
  <w:num w:numId="57">
    <w:abstractNumId w:val="19"/>
  </w:num>
  <w:num w:numId="58">
    <w:abstractNumId w:val="32"/>
  </w:num>
  <w:num w:numId="59">
    <w:abstractNumId w:val="38"/>
  </w:num>
  <w:num w:numId="60">
    <w:abstractNumId w:val="61"/>
  </w:num>
  <w:num w:numId="61">
    <w:abstractNumId w:val="24"/>
  </w:num>
  <w:num w:numId="62">
    <w:abstractNumId w:val="42"/>
  </w:num>
  <w:num w:numId="63">
    <w:abstractNumId w:val="84"/>
  </w:num>
  <w:num w:numId="64">
    <w:abstractNumId w:val="13"/>
  </w:num>
  <w:num w:numId="65">
    <w:abstractNumId w:val="26"/>
  </w:num>
  <w:num w:numId="66">
    <w:abstractNumId w:val="40"/>
  </w:num>
  <w:num w:numId="67">
    <w:abstractNumId w:val="82"/>
  </w:num>
  <w:num w:numId="68">
    <w:abstractNumId w:val="48"/>
  </w:num>
  <w:num w:numId="69">
    <w:abstractNumId w:val="24"/>
  </w:num>
  <w:num w:numId="70">
    <w:abstractNumId w:val="85"/>
  </w:num>
  <w:num w:numId="71">
    <w:abstractNumId w:val="46"/>
  </w:num>
  <w:num w:numId="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3"/>
  </w:num>
  <w:num w:numId="74">
    <w:abstractNumId w:val="21"/>
  </w:num>
  <w:num w:numId="75">
    <w:abstractNumId w:val="76"/>
  </w:num>
  <w:num w:numId="76">
    <w:abstractNumId w:val="15"/>
  </w:num>
  <w:num w:numId="77">
    <w:abstractNumId w:val="83"/>
  </w:num>
  <w:num w:numId="78">
    <w:abstractNumId w:val="33"/>
  </w:num>
  <w:num w:numId="79">
    <w:abstractNumId w:val="17"/>
  </w:num>
  <w:num w:numId="80">
    <w:abstractNumId w:val="14"/>
  </w:num>
  <w:num w:numId="81">
    <w:abstractNumId w:val="78"/>
  </w:num>
  <w:num w:numId="82">
    <w:abstractNumId w:val="55"/>
  </w:num>
  <w:num w:numId="83">
    <w:abstractNumId w:val="80"/>
  </w:num>
  <w:num w:numId="84">
    <w:abstractNumId w:val="9"/>
  </w:num>
  <w:num w:numId="85">
    <w:abstractNumId w:val="34"/>
  </w:num>
  <w:num w:numId="86">
    <w:abstractNumId w:val="31"/>
  </w:num>
  <w:num w:numId="87">
    <w:abstractNumId w:val="51"/>
  </w:num>
  <w:num w:numId="88">
    <w:abstractNumId w:val="86"/>
  </w:num>
  <w:num w:numId="89">
    <w:abstractNumId w:val="87"/>
  </w:num>
  <w:num w:numId="90">
    <w:abstractNumId w:val="88"/>
  </w:num>
  <w:num w:numId="91">
    <w:abstractNumId w:val="89"/>
  </w:num>
  <w:num w:numId="92">
    <w:abstractNumId w:val="90"/>
  </w:num>
  <w:num w:numId="93">
    <w:abstractNumId w:val="91"/>
  </w:num>
  <w:num w:numId="94">
    <w:abstractNumId w:val="92"/>
  </w:num>
  <w:num w:numId="95">
    <w:abstractNumId w:val="93"/>
  </w:num>
  <w:num w:numId="96">
    <w:abstractNumId w:val="94"/>
  </w:num>
  <w:num w:numId="97">
    <w:abstractNumId w:val="95"/>
  </w:num>
  <w:num w:numId="98">
    <w:abstractNumId w:val="96"/>
  </w:num>
  <w:num w:numId="99">
    <w:abstractNumId w:val="97"/>
  </w:num>
  <w:num w:numId="100">
    <w:abstractNumId w:val="98"/>
  </w:num>
  <w:num w:numId="101">
    <w:abstractNumId w:val="99"/>
  </w:num>
  <w:num w:numId="102">
    <w:abstractNumId w:val="100"/>
  </w:num>
  <w:num w:numId="103">
    <w:abstractNumId w:val="101"/>
  </w:num>
  <w:num w:numId="104">
    <w:abstractNumId w:val="102"/>
  </w:num>
  <w:num w:numId="105">
    <w:abstractNumId w:val="10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eachPage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14">
    <w:name w:val="Heading 1 Char"/>
    <w:basedOn w:val="1077"/>
    <w:link w:val="1068"/>
    <w:uiPriority w:val="9"/>
    <w:rPr>
      <w:rFonts w:ascii="Arial" w:hAnsi="Arial" w:eastAsia="Arial" w:cs="Arial"/>
      <w:sz w:val="40"/>
      <w:szCs w:val="40"/>
    </w:rPr>
  </w:style>
  <w:style w:type="character" w:styleId="915">
    <w:name w:val="Heading 2 Char"/>
    <w:basedOn w:val="1077"/>
    <w:link w:val="1069"/>
    <w:uiPriority w:val="9"/>
    <w:rPr>
      <w:rFonts w:ascii="Arial" w:hAnsi="Arial" w:eastAsia="Arial" w:cs="Arial"/>
      <w:sz w:val="34"/>
    </w:rPr>
  </w:style>
  <w:style w:type="character" w:styleId="916">
    <w:name w:val="Heading 3 Char"/>
    <w:basedOn w:val="1077"/>
    <w:link w:val="1070"/>
    <w:uiPriority w:val="9"/>
    <w:rPr>
      <w:rFonts w:ascii="Arial" w:hAnsi="Arial" w:eastAsia="Arial" w:cs="Arial"/>
      <w:sz w:val="30"/>
      <w:szCs w:val="30"/>
    </w:rPr>
  </w:style>
  <w:style w:type="character" w:styleId="917">
    <w:name w:val="Heading 4 Char"/>
    <w:basedOn w:val="1077"/>
    <w:link w:val="1071"/>
    <w:uiPriority w:val="9"/>
    <w:rPr>
      <w:rFonts w:ascii="Arial" w:hAnsi="Arial" w:eastAsia="Arial" w:cs="Arial"/>
      <w:b/>
      <w:bCs/>
      <w:sz w:val="26"/>
      <w:szCs w:val="26"/>
    </w:rPr>
  </w:style>
  <w:style w:type="character" w:styleId="918">
    <w:name w:val="Heading 5 Char"/>
    <w:basedOn w:val="1077"/>
    <w:link w:val="1072"/>
    <w:uiPriority w:val="9"/>
    <w:rPr>
      <w:rFonts w:ascii="Arial" w:hAnsi="Arial" w:eastAsia="Arial" w:cs="Arial"/>
      <w:b/>
      <w:bCs/>
      <w:sz w:val="24"/>
      <w:szCs w:val="24"/>
    </w:rPr>
  </w:style>
  <w:style w:type="character" w:styleId="919">
    <w:name w:val="Heading 6 Char"/>
    <w:basedOn w:val="1077"/>
    <w:link w:val="1073"/>
    <w:uiPriority w:val="9"/>
    <w:rPr>
      <w:rFonts w:ascii="Arial" w:hAnsi="Arial" w:eastAsia="Arial" w:cs="Arial"/>
      <w:b/>
      <w:bCs/>
      <w:sz w:val="22"/>
      <w:szCs w:val="22"/>
    </w:rPr>
  </w:style>
  <w:style w:type="character" w:styleId="920">
    <w:name w:val="Heading 7 Char"/>
    <w:basedOn w:val="1077"/>
    <w:link w:val="10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921">
    <w:name w:val="Heading 8 Char"/>
    <w:basedOn w:val="1077"/>
    <w:link w:val="1075"/>
    <w:uiPriority w:val="9"/>
    <w:rPr>
      <w:rFonts w:ascii="Arial" w:hAnsi="Arial" w:eastAsia="Arial" w:cs="Arial"/>
      <w:i/>
      <w:iCs/>
      <w:sz w:val="22"/>
      <w:szCs w:val="22"/>
    </w:rPr>
  </w:style>
  <w:style w:type="character" w:styleId="922">
    <w:name w:val="Heading 9 Char"/>
    <w:basedOn w:val="1077"/>
    <w:link w:val="1076"/>
    <w:uiPriority w:val="9"/>
    <w:rPr>
      <w:rFonts w:ascii="Arial" w:hAnsi="Arial" w:eastAsia="Arial" w:cs="Arial"/>
      <w:i/>
      <w:iCs/>
      <w:sz w:val="21"/>
      <w:szCs w:val="21"/>
    </w:rPr>
  </w:style>
  <w:style w:type="paragraph" w:styleId="923">
    <w:name w:val="Title"/>
    <w:basedOn w:val="1067"/>
    <w:next w:val="1067"/>
    <w:link w:val="92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24">
    <w:name w:val="Title Char"/>
    <w:basedOn w:val="1077"/>
    <w:link w:val="923"/>
    <w:uiPriority w:val="10"/>
    <w:rPr>
      <w:sz w:val="48"/>
      <w:szCs w:val="48"/>
    </w:rPr>
  </w:style>
  <w:style w:type="character" w:styleId="925">
    <w:name w:val="Subtitle Char"/>
    <w:basedOn w:val="1077"/>
    <w:link w:val="1129"/>
    <w:uiPriority w:val="11"/>
    <w:rPr>
      <w:sz w:val="24"/>
      <w:szCs w:val="24"/>
    </w:rPr>
  </w:style>
  <w:style w:type="character" w:styleId="926">
    <w:name w:val="Quote Char"/>
    <w:link w:val="1133"/>
    <w:uiPriority w:val="29"/>
    <w:rPr>
      <w:i/>
    </w:rPr>
  </w:style>
  <w:style w:type="character" w:styleId="927">
    <w:name w:val="Intense Quote Char"/>
    <w:link w:val="1135"/>
    <w:uiPriority w:val="30"/>
    <w:rPr>
      <w:i/>
    </w:rPr>
  </w:style>
  <w:style w:type="character" w:styleId="928">
    <w:name w:val="Header Char"/>
    <w:basedOn w:val="1077"/>
    <w:link w:val="1109"/>
    <w:uiPriority w:val="99"/>
  </w:style>
  <w:style w:type="character" w:styleId="929">
    <w:name w:val="Footer Char"/>
    <w:basedOn w:val="1077"/>
    <w:link w:val="1111"/>
    <w:uiPriority w:val="99"/>
  </w:style>
  <w:style w:type="character" w:styleId="930">
    <w:name w:val="Caption Char"/>
    <w:basedOn w:val="1126"/>
    <w:link w:val="1111"/>
    <w:uiPriority w:val="99"/>
  </w:style>
  <w:style w:type="table" w:styleId="931">
    <w:name w:val="Table Grid Light"/>
    <w:basedOn w:val="10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32">
    <w:name w:val="Plain Table 1"/>
    <w:basedOn w:val="10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3">
    <w:name w:val="Plain Table 2"/>
    <w:basedOn w:val="10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34">
    <w:name w:val="Plain Table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35">
    <w:name w:val="Plain Table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Plain Table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37">
    <w:name w:val="Grid Table 1 Light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Grid Table 1 Light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Grid Table 1 Light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Grid Table 1 Light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Grid Table 1 Light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Grid Table 1 Light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Grid Table 1 Light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Grid Table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2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2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2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2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2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Grid Table 2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Grid Table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Grid Table 3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Grid Table 3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3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3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3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3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4"/>
    <w:basedOn w:val="10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59">
    <w:name w:val="Grid Table 4 - Accent 1"/>
    <w:basedOn w:val="10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60">
    <w:name w:val="Grid Table 4 - Accent 2"/>
    <w:basedOn w:val="10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61">
    <w:name w:val="Grid Table 4 - Accent 3"/>
    <w:basedOn w:val="10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62">
    <w:name w:val="Grid Table 4 - Accent 4"/>
    <w:basedOn w:val="10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63">
    <w:name w:val="Grid Table 4 - Accent 5"/>
    <w:basedOn w:val="10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64">
    <w:name w:val="Grid Table 4 - Accent 6"/>
    <w:basedOn w:val="10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65">
    <w:name w:val="Grid Table 5 Dark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66">
    <w:name w:val="Grid Table 5 Dark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67">
    <w:name w:val="Grid Table 5 Dark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68">
    <w:name w:val="Grid Table 5 Dark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69">
    <w:name w:val="Grid Table 5 Dark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70">
    <w:name w:val="Grid Table 5 Dark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71">
    <w:name w:val="Grid Table 5 Dark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72">
    <w:name w:val="Grid Table 6 Colorful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3">
    <w:name w:val="Grid Table 6 Colorful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74">
    <w:name w:val="Grid Table 6 Colorful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75">
    <w:name w:val="Grid Table 6 Colorful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76">
    <w:name w:val="Grid Table 6 Colorful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77">
    <w:name w:val="Grid Table 6 Colorful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8">
    <w:name w:val="Grid Table 6 Colorful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9">
    <w:name w:val="Grid Table 7 Colorful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>
    <w:name w:val="Grid Table 7 Colorful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>
    <w:name w:val="Grid Table 7 Colorful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>
    <w:name w:val="Grid Table 7 Colorful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>
    <w:name w:val="Grid Table 7 Colorful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>
    <w:name w:val="Grid Table 7 Colorful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>
    <w:name w:val="Grid Table 7 Colorful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List Table 1 Light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List Table 1 Light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List Table 1 Light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List Table 1 Light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List Table 1 Light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List Table 1 Light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List Table 1 Light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List Table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94">
    <w:name w:val="List Table 2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95">
    <w:name w:val="List Table 2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96">
    <w:name w:val="List Table 2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97">
    <w:name w:val="List Table 2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98">
    <w:name w:val="List Table 2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99">
    <w:name w:val="List Table 2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00">
    <w:name w:val="List Table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1">
    <w:name w:val="List Table 3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2">
    <w:name w:val="List Table 3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3">
    <w:name w:val="List Table 3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4">
    <w:name w:val="List Table 3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5">
    <w:name w:val="List Table 3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6">
    <w:name w:val="List Table 3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7">
    <w:name w:val="List Table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8">
    <w:name w:val="List Table 4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09">
    <w:name w:val="List Table 4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0">
    <w:name w:val="List Table 4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1">
    <w:name w:val="List Table 4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2">
    <w:name w:val="List Table 4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3">
    <w:name w:val="List Table 4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14">
    <w:name w:val="List Table 5 Dark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5">
    <w:name w:val="List Table 5 Dark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6">
    <w:name w:val="List Table 5 Dark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7">
    <w:name w:val="List Table 5 Dark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8">
    <w:name w:val="List Table 5 Dark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19">
    <w:name w:val="List Table 5 Dark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0">
    <w:name w:val="List Table 5 Dark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21">
    <w:name w:val="List Table 6 Colorful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22">
    <w:name w:val="List Table 6 Colorful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23">
    <w:name w:val="List Table 6 Colorful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24">
    <w:name w:val="List Table 6 Colorful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25">
    <w:name w:val="List Table 6 Colorful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26">
    <w:name w:val="List Table 6 Colorful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27">
    <w:name w:val="List Table 6 Colorful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28">
    <w:name w:val="List Table 7 Colorful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29">
    <w:name w:val="List Table 7 Colorful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30">
    <w:name w:val="List Table 7 Colorful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31">
    <w:name w:val="List Table 7 Colorful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32">
    <w:name w:val="List Table 7 Colorful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33">
    <w:name w:val="List Table 7 Colorful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34">
    <w:name w:val="List Table 7 Colorful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35">
    <w:name w:val="Lined - Accent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36">
    <w:name w:val="Lined - Accent 1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37">
    <w:name w:val="Lined - Accent 2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38">
    <w:name w:val="Lined - Accent 3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39">
    <w:name w:val="Lined - Accent 4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40">
    <w:name w:val="Lined - Accent 5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41">
    <w:name w:val="Lined - Accent 6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2">
    <w:name w:val="Bordered &amp; Lined - Accent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43">
    <w:name w:val="Bordered &amp; Lined - Accent 1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44">
    <w:name w:val="Bordered &amp; Lined - Accent 2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45">
    <w:name w:val="Bordered &amp; Lined - Accent 3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46">
    <w:name w:val="Bordered &amp; Lined - Accent 4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47">
    <w:name w:val="Bordered &amp; Lined - Accent 5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48">
    <w:name w:val="Bordered &amp; Lined - Accent 6"/>
    <w:basedOn w:val="10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49">
    <w:name w:val="Bordered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50">
    <w:name w:val="Bordered - Accent 1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51">
    <w:name w:val="Bordered - Accent 2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52">
    <w:name w:val="Bordered - Accent 3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53">
    <w:name w:val="Bordered - Accent 4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54">
    <w:name w:val="Bordered - Accent 5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55">
    <w:name w:val="Bordered - Accent 6"/>
    <w:basedOn w:val="10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56">
    <w:name w:val="Footnote Text Char"/>
    <w:link w:val="1102"/>
    <w:uiPriority w:val="99"/>
    <w:rPr>
      <w:sz w:val="18"/>
    </w:rPr>
  </w:style>
  <w:style w:type="paragraph" w:styleId="1057">
    <w:name w:val="endnote text"/>
    <w:basedOn w:val="1067"/>
    <w:link w:val="1058"/>
    <w:uiPriority w:val="99"/>
    <w:semiHidden/>
    <w:unhideWhenUsed/>
    <w:pPr>
      <w:spacing w:after="0" w:line="240" w:lineRule="auto"/>
    </w:pPr>
    <w:rPr>
      <w:sz w:val="20"/>
    </w:rPr>
  </w:style>
  <w:style w:type="character" w:styleId="1058">
    <w:name w:val="Endnote Text Char"/>
    <w:link w:val="1057"/>
    <w:uiPriority w:val="99"/>
    <w:rPr>
      <w:sz w:val="20"/>
    </w:rPr>
  </w:style>
  <w:style w:type="character" w:styleId="1059">
    <w:name w:val="endnote reference"/>
    <w:basedOn w:val="1077"/>
    <w:uiPriority w:val="99"/>
    <w:semiHidden/>
    <w:unhideWhenUsed/>
    <w:rPr>
      <w:vertAlign w:val="superscript"/>
    </w:rPr>
  </w:style>
  <w:style w:type="paragraph" w:styleId="1060">
    <w:name w:val="toc 4"/>
    <w:basedOn w:val="1067"/>
    <w:next w:val="1067"/>
    <w:uiPriority w:val="39"/>
    <w:unhideWhenUsed/>
    <w:pPr>
      <w:ind w:left="850" w:right="0" w:firstLine="0"/>
      <w:spacing w:after="57"/>
    </w:pPr>
  </w:style>
  <w:style w:type="paragraph" w:styleId="1061">
    <w:name w:val="toc 5"/>
    <w:basedOn w:val="1067"/>
    <w:next w:val="1067"/>
    <w:uiPriority w:val="39"/>
    <w:unhideWhenUsed/>
    <w:pPr>
      <w:ind w:left="1134" w:right="0" w:firstLine="0"/>
      <w:spacing w:after="57"/>
    </w:pPr>
  </w:style>
  <w:style w:type="paragraph" w:styleId="1062">
    <w:name w:val="toc 6"/>
    <w:basedOn w:val="1067"/>
    <w:next w:val="1067"/>
    <w:uiPriority w:val="39"/>
    <w:unhideWhenUsed/>
    <w:pPr>
      <w:ind w:left="1417" w:right="0" w:firstLine="0"/>
      <w:spacing w:after="57"/>
    </w:pPr>
  </w:style>
  <w:style w:type="paragraph" w:styleId="1063">
    <w:name w:val="toc 7"/>
    <w:basedOn w:val="1067"/>
    <w:next w:val="1067"/>
    <w:uiPriority w:val="39"/>
    <w:unhideWhenUsed/>
    <w:pPr>
      <w:ind w:left="1701" w:right="0" w:firstLine="0"/>
      <w:spacing w:after="57"/>
    </w:pPr>
  </w:style>
  <w:style w:type="paragraph" w:styleId="1064">
    <w:name w:val="toc 8"/>
    <w:basedOn w:val="1067"/>
    <w:next w:val="1067"/>
    <w:uiPriority w:val="39"/>
    <w:unhideWhenUsed/>
    <w:pPr>
      <w:ind w:left="1984" w:right="0" w:firstLine="0"/>
      <w:spacing w:after="57"/>
    </w:pPr>
  </w:style>
  <w:style w:type="paragraph" w:styleId="1065">
    <w:name w:val="toc 9"/>
    <w:basedOn w:val="1067"/>
    <w:next w:val="1067"/>
    <w:uiPriority w:val="39"/>
    <w:unhideWhenUsed/>
    <w:pPr>
      <w:ind w:left="2268" w:right="0" w:firstLine="0"/>
      <w:spacing w:after="57"/>
    </w:pPr>
  </w:style>
  <w:style w:type="paragraph" w:styleId="1066">
    <w:name w:val="table of figures"/>
    <w:basedOn w:val="1067"/>
    <w:next w:val="1067"/>
    <w:uiPriority w:val="99"/>
    <w:unhideWhenUsed/>
    <w:pPr>
      <w:spacing w:after="0" w:afterAutospacing="0"/>
    </w:pPr>
  </w:style>
  <w:style w:type="paragraph" w:styleId="1067" w:default="1">
    <w:name w:val="Normal"/>
    <w:qFormat/>
    <w:pPr>
      <w:spacing w:after="200" w:line="276" w:lineRule="auto"/>
    </w:pPr>
    <w:rPr>
      <w:sz w:val="22"/>
      <w:szCs w:val="22"/>
    </w:rPr>
  </w:style>
  <w:style w:type="paragraph" w:styleId="1068">
    <w:name w:val="Heading 1"/>
    <w:basedOn w:val="1067"/>
    <w:next w:val="1067"/>
    <w:link w:val="1116"/>
    <w:uiPriority w:val="9"/>
    <w:qFormat/>
    <w:pPr>
      <w:keepLines/>
      <w:keepNext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1069">
    <w:name w:val="Heading 2"/>
    <w:basedOn w:val="1067"/>
    <w:next w:val="1067"/>
    <w:link w:val="1096"/>
    <w:uiPriority w:val="9"/>
    <w:unhideWhenUsed/>
    <w:qFormat/>
    <w:pPr>
      <w:keepLines/>
      <w:keepNext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1070">
    <w:name w:val="Heading 3"/>
    <w:basedOn w:val="1067"/>
    <w:next w:val="1067"/>
    <w:link w:val="1117"/>
    <w:uiPriority w:val="9"/>
    <w:qFormat/>
    <w:pPr>
      <w:keepLines/>
      <w:keepNext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1071">
    <w:name w:val="Heading 4"/>
    <w:basedOn w:val="1067"/>
    <w:next w:val="1067"/>
    <w:link w:val="1118"/>
    <w:uiPriority w:val="9"/>
    <w:qFormat/>
    <w:pPr>
      <w:keepLines/>
      <w:keepNext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1072">
    <w:name w:val="Heading 5"/>
    <w:basedOn w:val="1067"/>
    <w:next w:val="1067"/>
    <w:link w:val="1119"/>
    <w:uiPriority w:val="9"/>
    <w:qFormat/>
    <w:pPr>
      <w:keepLines/>
      <w:keepNext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1073">
    <w:name w:val="Heading 6"/>
    <w:basedOn w:val="1067"/>
    <w:next w:val="1067"/>
    <w:link w:val="1120"/>
    <w:uiPriority w:val="9"/>
    <w:qFormat/>
    <w:pPr>
      <w:keepLines/>
      <w:keepNext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1074">
    <w:name w:val="Heading 7"/>
    <w:basedOn w:val="1067"/>
    <w:next w:val="1067"/>
    <w:link w:val="1121"/>
    <w:uiPriority w:val="9"/>
    <w:qFormat/>
    <w:pPr>
      <w:keepLines/>
      <w:keepNext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1075">
    <w:name w:val="Heading 8"/>
    <w:basedOn w:val="1067"/>
    <w:next w:val="1067"/>
    <w:link w:val="1122"/>
    <w:uiPriority w:val="9"/>
    <w:qFormat/>
    <w:pPr>
      <w:keepLines/>
      <w:keepNext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1076">
    <w:name w:val="Heading 9"/>
    <w:basedOn w:val="1067"/>
    <w:next w:val="1067"/>
    <w:link w:val="1123"/>
    <w:uiPriority w:val="9"/>
    <w:qFormat/>
    <w:pPr>
      <w:keepLines/>
      <w:keepNext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1077" w:default="1">
    <w:name w:val="Default Paragraph Font"/>
    <w:uiPriority w:val="1"/>
    <w:semiHidden/>
    <w:unhideWhenUsed/>
  </w:style>
  <w:style w:type="table" w:styleId="10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79" w:default="1">
    <w:name w:val="No List"/>
    <w:uiPriority w:val="99"/>
    <w:semiHidden/>
    <w:unhideWhenUsed/>
  </w:style>
  <w:style w:type="paragraph" w:styleId="1080">
    <w:name w:val="List Paragraph"/>
    <w:basedOn w:val="1067"/>
    <w:link w:val="1160"/>
    <w:uiPriority w:val="34"/>
    <w:qFormat/>
    <w:pPr>
      <w:contextualSpacing/>
      <w:ind w:left="720"/>
    </w:pPr>
  </w:style>
  <w:style w:type="character" w:styleId="1081">
    <w:name w:val="annotation reference"/>
    <w:rPr>
      <w:sz w:val="16"/>
      <w:szCs w:val="16"/>
    </w:rPr>
  </w:style>
  <w:style w:type="paragraph" w:styleId="1082">
    <w:name w:val="annotation text"/>
    <w:basedOn w:val="1067"/>
    <w:link w:val="108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styleId="1083" w:customStyle="1">
    <w:name w:val="Текст примечания Знак"/>
    <w:link w:val="108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4">
    <w:name w:val="Balloon Text"/>
    <w:basedOn w:val="1067"/>
    <w:link w:val="1085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85" w:customStyle="1">
    <w:name w:val="Текст выноски Знак"/>
    <w:link w:val="1084"/>
    <w:uiPriority w:val="99"/>
    <w:semiHidden/>
    <w:rPr>
      <w:rFonts w:ascii="Tahoma" w:hAnsi="Tahoma" w:cs="Tahoma"/>
      <w:sz w:val="16"/>
      <w:szCs w:val="16"/>
    </w:rPr>
  </w:style>
  <w:style w:type="table" w:styleId="1086">
    <w:name w:val="Table Grid"/>
    <w:basedOn w:val="107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87" w:customStyle="1">
    <w:name w:val="Обычный+ без отступа"/>
    <w:basedOn w:val="1067"/>
    <w:pPr>
      <w:jc w:val="both"/>
      <w:spacing w:before="120" w:after="0" w:line="360" w:lineRule="auto"/>
    </w:pPr>
    <w:rPr>
      <w:rFonts w:ascii="Times New Roman" w:hAnsi="Times New Roman" w:eastAsia="MS Mincho"/>
      <w:sz w:val="28"/>
      <w:szCs w:val="28"/>
    </w:rPr>
  </w:style>
  <w:style w:type="paragraph" w:styleId="1088" w:customStyle="1">
    <w:name w:val="Таблица шапка"/>
    <w:basedOn w:val="1067"/>
    <w:pPr>
      <w:ind w:left="57" w:right="57"/>
      <w:keepNext/>
      <w:spacing w:before="40" w:after="40" w:line="240" w:lineRule="auto"/>
    </w:pPr>
    <w:rPr>
      <w:rFonts w:ascii="Times New Roman" w:hAnsi="Times New Roman"/>
      <w:sz w:val="18"/>
      <w:szCs w:val="18"/>
    </w:rPr>
  </w:style>
  <w:style w:type="paragraph" w:styleId="1089" w:customStyle="1">
    <w:name w:val="Текст таблицы"/>
    <w:basedOn w:val="1067"/>
    <w:pPr>
      <w:ind w:left="57" w:right="57"/>
      <w:spacing w:before="40" w:after="40" w:line="240" w:lineRule="auto"/>
    </w:pPr>
    <w:rPr>
      <w:rFonts w:ascii="Times New Roman" w:hAnsi="Times New Roman"/>
      <w:sz w:val="24"/>
      <w:szCs w:val="24"/>
    </w:rPr>
  </w:style>
  <w:style w:type="paragraph" w:styleId="1090" w:customStyle="1">
    <w:name w:val="Пункт Знак"/>
    <w:basedOn w:val="1067"/>
    <w:pPr>
      <w:numPr>
        <w:ilvl w:val="1"/>
        <w:numId w:val="1"/>
      </w:numPr>
      <w:jc w:val="both"/>
      <w:spacing w:after="0" w:line="360" w:lineRule="auto"/>
      <w:tabs>
        <w:tab w:val="left" w:pos="851" w:leader="none"/>
        <w:tab w:val="left" w:pos="1134" w:leader="none"/>
      </w:tabs>
    </w:pPr>
    <w:rPr>
      <w:rFonts w:ascii="Times New Roman" w:hAnsi="Times New Roman"/>
      <w:b/>
      <w:sz w:val="28"/>
      <w:szCs w:val="20"/>
    </w:rPr>
  </w:style>
  <w:style w:type="paragraph" w:styleId="1091" w:customStyle="1">
    <w:name w:val="Подпункт"/>
    <w:basedOn w:val="1090"/>
    <w:link w:val="1106"/>
    <w:pPr>
      <w:numPr>
        <w:ilvl w:val="2"/>
      </w:numPr>
      <w:tabs>
        <w:tab w:val="clear" w:pos="1134" w:leader="none"/>
      </w:tabs>
    </w:pPr>
  </w:style>
  <w:style w:type="paragraph" w:styleId="1092" w:customStyle="1">
    <w:name w:val="Подподпункт"/>
    <w:basedOn w:val="1091"/>
    <w:pPr>
      <w:numPr>
        <w:ilvl w:val="3"/>
      </w:numPr>
      <w:tabs>
        <w:tab w:val="left" w:pos="1134" w:leader="none"/>
        <w:tab w:val="left" w:pos="1418" w:leader="none"/>
      </w:tabs>
    </w:pPr>
  </w:style>
  <w:style w:type="paragraph" w:styleId="1093" w:customStyle="1">
    <w:name w:val="Подподподпункт"/>
    <w:basedOn w:val="1067"/>
    <w:pPr>
      <w:numPr>
        <w:ilvl w:val="4"/>
        <w:numId w:val="1"/>
      </w:numPr>
      <w:jc w:val="both"/>
      <w:spacing w:after="0" w:line="360" w:lineRule="auto"/>
      <w:tabs>
        <w:tab w:val="left" w:pos="1134" w:leader="none"/>
        <w:tab w:val="left" w:pos="1701" w:leader="none"/>
        <w:tab w:val="clear" w:pos="1718" w:leader="none"/>
      </w:tabs>
    </w:pPr>
    <w:rPr>
      <w:rFonts w:ascii="Times New Roman" w:hAnsi="Times New Roman"/>
      <w:sz w:val="28"/>
      <w:szCs w:val="20"/>
    </w:rPr>
  </w:style>
  <w:style w:type="paragraph" w:styleId="1094" w:customStyle="1">
    <w:name w:val="Пункт1"/>
    <w:basedOn w:val="1067"/>
    <w:pPr>
      <w:numPr>
        <w:ilvl w:val="0"/>
        <w:numId w:val="1"/>
      </w:numPr>
      <w:jc w:val="center"/>
      <w:spacing w:before="240" w:after="0" w:line="360" w:lineRule="auto"/>
    </w:pPr>
    <w:rPr>
      <w:rFonts w:ascii="Arial" w:hAnsi="Arial"/>
      <w:b/>
      <w:sz w:val="28"/>
      <w:szCs w:val="28"/>
    </w:rPr>
  </w:style>
  <w:style w:type="paragraph" w:styleId="1095" w:customStyle="1">
    <w:name w:val="Пункт_3"/>
    <w:basedOn w:val="1067"/>
    <w:uiPriority w:val="99"/>
    <w:pPr>
      <w:ind w:left="1134" w:hanging="1133"/>
      <w:jc w:val="both"/>
      <w:spacing w:after="0" w:line="360" w:lineRule="auto"/>
      <w:tabs>
        <w:tab w:val="num" w:pos="1134" w:leader="none"/>
      </w:tabs>
    </w:pPr>
    <w:rPr>
      <w:rFonts w:ascii="Times New Roman" w:hAnsi="Times New Roman"/>
      <w:sz w:val="28"/>
      <w:szCs w:val="20"/>
    </w:rPr>
  </w:style>
  <w:style w:type="character" w:styleId="1096" w:customStyle="1">
    <w:name w:val="Заголовок 2 Знак"/>
    <w:link w:val="1069"/>
    <w:uiPriority w:val="9"/>
    <w:rPr>
      <w:rFonts w:ascii="Cambria" w:hAnsi="Cambria" w:eastAsia="Times New Roman" w:cs="Times New Roman"/>
      <w:b/>
      <w:bCs/>
      <w:color w:val="4f81bd"/>
      <w:sz w:val="26"/>
      <w:szCs w:val="26"/>
    </w:rPr>
  </w:style>
  <w:style w:type="paragraph" w:styleId="1097">
    <w:name w:val="toc 1"/>
    <w:basedOn w:val="1067"/>
    <w:next w:val="1067"/>
    <w:uiPriority w:val="39"/>
    <w:pPr>
      <w:jc w:val="center"/>
      <w:spacing w:after="0" w:line="240" w:lineRule="auto"/>
      <w:tabs>
        <w:tab w:val="right" w:pos="9344" w:leader="dot"/>
      </w:tabs>
    </w:pPr>
    <w:rPr>
      <w:rFonts w:ascii="Times New Roman" w:hAnsi="Times New Roman"/>
      <w:b/>
      <w:sz w:val="24"/>
      <w:szCs w:val="24"/>
    </w:rPr>
  </w:style>
  <w:style w:type="character" w:styleId="1098">
    <w:name w:val="Hyperlink"/>
    <w:uiPriority w:val="99"/>
    <w:rPr>
      <w:color w:val="0000ff"/>
      <w:u w:val="single"/>
    </w:rPr>
  </w:style>
  <w:style w:type="paragraph" w:styleId="1099">
    <w:name w:val="toc 2"/>
    <w:basedOn w:val="1067"/>
    <w:next w:val="1067"/>
    <w:uiPriority w:val="39"/>
    <w:unhideWhenUsed/>
    <w:pPr>
      <w:ind w:left="220"/>
      <w:spacing w:after="0"/>
      <w:tabs>
        <w:tab w:val="left" w:pos="426" w:leader="none"/>
        <w:tab w:val="left" w:pos="1680" w:leader="none"/>
        <w:tab w:val="right" w:pos="9344" w:leader="dot"/>
        <w:tab w:val="right" w:pos="9639" w:leader="dot"/>
      </w:tabs>
    </w:pPr>
  </w:style>
  <w:style w:type="character" w:styleId="1100" w:customStyle="1">
    <w:name w:val="apple-style-span"/>
    <w:basedOn w:val="1077"/>
  </w:style>
  <w:style w:type="character" w:styleId="1101" w:customStyle="1">
    <w:name w:val="apple-converted-space"/>
    <w:basedOn w:val="1077"/>
  </w:style>
  <w:style w:type="paragraph" w:styleId="1102">
    <w:name w:val="footnote text"/>
    <w:basedOn w:val="1067"/>
    <w:link w:val="1103"/>
    <w:uiPriority w:val="99"/>
    <w:unhideWhenUsed/>
    <w:pPr>
      <w:spacing w:after="0" w:line="240" w:lineRule="auto"/>
    </w:pPr>
    <w:rPr>
      <w:rFonts w:ascii="Times New Roman" w:hAnsi="Times New Roman" w:eastAsia="Calibri"/>
      <w:sz w:val="20"/>
      <w:szCs w:val="20"/>
    </w:rPr>
  </w:style>
  <w:style w:type="character" w:styleId="1103" w:customStyle="1">
    <w:name w:val="Текст сноски Знак"/>
    <w:link w:val="1102"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1104">
    <w:name w:val="footnote reference"/>
    <w:uiPriority w:val="99"/>
    <w:unhideWhenUsed/>
    <w:rPr>
      <w:vertAlign w:val="superscript"/>
    </w:rPr>
  </w:style>
  <w:style w:type="paragraph" w:styleId="1105" w:customStyle="1">
    <w:name w:val="ConsPlusNormal"/>
    <w:link w:val="1167"/>
    <w:pPr>
      <w:ind w:firstLine="720"/>
      <w:widowControl w:val="off"/>
    </w:pPr>
    <w:rPr>
      <w:rFonts w:ascii="Arial" w:hAnsi="Arial" w:cs="Arial"/>
    </w:rPr>
  </w:style>
  <w:style w:type="character" w:styleId="1106" w:customStyle="1">
    <w:name w:val="Подпункт Знак1"/>
    <w:link w:val="1091"/>
    <w:rPr>
      <w:rFonts w:ascii="Times New Roman" w:hAnsi="Times New Roman"/>
      <w:b/>
      <w:sz w:val="28"/>
    </w:rPr>
  </w:style>
  <w:style w:type="paragraph" w:styleId="1107" w:customStyle="1">
    <w:name w:val="Таблица"/>
    <w:basedOn w:val="1067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1108" w:customStyle="1">
    <w:name w:val="Абзац списка1"/>
    <w:basedOn w:val="1067"/>
    <w:pPr>
      <w:contextualSpacing/>
      <w:ind w:left="720"/>
    </w:pPr>
  </w:style>
  <w:style w:type="paragraph" w:styleId="1109">
    <w:name w:val="Header"/>
    <w:basedOn w:val="1067"/>
    <w:link w:val="111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110" w:customStyle="1">
    <w:name w:val="Верхний колонтитул Знак"/>
    <w:basedOn w:val="1077"/>
    <w:link w:val="1109"/>
    <w:uiPriority w:val="99"/>
  </w:style>
  <w:style w:type="paragraph" w:styleId="1111">
    <w:name w:val="Footer"/>
    <w:basedOn w:val="1067"/>
    <w:link w:val="111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112" w:customStyle="1">
    <w:name w:val="Нижний колонтитул Знак"/>
    <w:basedOn w:val="1077"/>
    <w:link w:val="1111"/>
    <w:uiPriority w:val="99"/>
  </w:style>
  <w:style w:type="character" w:styleId="1113">
    <w:name w:val="line number"/>
    <w:basedOn w:val="1077"/>
    <w:uiPriority w:val="99"/>
    <w:semiHidden/>
    <w:unhideWhenUsed/>
  </w:style>
  <w:style w:type="paragraph" w:styleId="1114">
    <w:name w:val="Document Map"/>
    <w:basedOn w:val="1067"/>
    <w:link w:val="111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115" w:customStyle="1">
    <w:name w:val="Схема документа Знак"/>
    <w:link w:val="1114"/>
    <w:uiPriority w:val="99"/>
    <w:semiHidden/>
    <w:rPr>
      <w:rFonts w:ascii="Tahoma" w:hAnsi="Tahoma" w:cs="Tahoma"/>
      <w:sz w:val="16"/>
      <w:szCs w:val="16"/>
    </w:rPr>
  </w:style>
  <w:style w:type="character" w:styleId="1116" w:customStyle="1">
    <w:name w:val="Заголовок 1 Знак"/>
    <w:link w:val="1068"/>
    <w:uiPriority w:val="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1117" w:customStyle="1">
    <w:name w:val="Заголовок 3 Знак"/>
    <w:link w:val="1070"/>
    <w:uiPriority w:val="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1118" w:customStyle="1">
    <w:name w:val="Заголовок 4 Знак"/>
    <w:link w:val="1071"/>
    <w:uiPriority w:val="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1119" w:customStyle="1">
    <w:name w:val="Заголовок 5 Знак"/>
    <w:link w:val="1072"/>
    <w:uiPriority w:val="9"/>
    <w:rPr>
      <w:rFonts w:ascii="Cambria" w:hAnsi="Cambria" w:eastAsia="Times New Roman" w:cs="Times New Roman"/>
      <w:color w:val="243f60"/>
      <w:sz w:val="20"/>
      <w:szCs w:val="20"/>
    </w:rPr>
  </w:style>
  <w:style w:type="character" w:styleId="1120" w:customStyle="1">
    <w:name w:val="Заголовок 6 Знак"/>
    <w:link w:val="1073"/>
    <w:uiPriority w:val="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1121" w:customStyle="1">
    <w:name w:val="Заголовок 7 Знак"/>
    <w:link w:val="1074"/>
    <w:uiPriority w:val="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1122" w:customStyle="1">
    <w:name w:val="Заголовок 8 Знак"/>
    <w:link w:val="1075"/>
    <w:uiPriority w:val="9"/>
    <w:rPr>
      <w:rFonts w:ascii="Cambria" w:hAnsi="Cambria" w:eastAsia="Times New Roman" w:cs="Times New Roman"/>
      <w:color w:val="4f81bd"/>
      <w:sz w:val="20"/>
      <w:szCs w:val="20"/>
    </w:rPr>
  </w:style>
  <w:style w:type="character" w:styleId="1123" w:customStyle="1">
    <w:name w:val="Заголовок 9 Знак"/>
    <w:link w:val="1076"/>
    <w:uiPriority w:val="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paragraph" w:styleId="1124" w:customStyle="1">
    <w:name w:val="Знак Знак Знак Знак Знак Знак Знак Знак Знак"/>
    <w:basedOn w:val="1067"/>
    <w:pPr>
      <w:jc w:val="both"/>
      <w:spacing w:after="160" w:line="240" w:lineRule="exact"/>
    </w:pPr>
    <w:rPr>
      <w:rFonts w:ascii="Verdana" w:hAnsi="Verdana" w:cs="Verdana"/>
      <w:lang w:val="en-US"/>
    </w:rPr>
  </w:style>
  <w:style w:type="paragraph" w:styleId="1125">
    <w:name w:val="No Spacing"/>
    <w:basedOn w:val="1067"/>
    <w:uiPriority w:val="1"/>
    <w:qFormat/>
    <w:pPr>
      <w:spacing w:after="0" w:line="360" w:lineRule="auto"/>
    </w:pPr>
    <w:rPr>
      <w:rFonts w:ascii="Times New Roman" w:hAnsi="Times New Roman" w:eastAsia="Calibri"/>
      <w:sz w:val="24"/>
      <w:szCs w:val="24"/>
    </w:rPr>
  </w:style>
  <w:style w:type="paragraph" w:styleId="1126">
    <w:name w:val="Caption"/>
    <w:basedOn w:val="1067"/>
    <w:next w:val="1067"/>
    <w:link w:val="930"/>
    <w:uiPriority w:val="35"/>
    <w:qFormat/>
    <w:pPr>
      <w:spacing w:after="0" w:line="240" w:lineRule="auto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127" w:customStyle="1">
    <w:name w:val="Название1"/>
    <w:basedOn w:val="1067"/>
    <w:next w:val="1067"/>
    <w:link w:val="1128"/>
    <w:uiPriority w:val="10"/>
    <w:qFormat/>
    <w:pPr>
      <w:contextualSpacing/>
      <w:spacing w:after="300" w:line="240" w:lineRule="auto"/>
      <w:pBdr>
        <w:bottom w:val="single" w:color="4F81BD" w:sz="8" w:space="4"/>
      </w:pBdr>
    </w:pPr>
    <w:rPr>
      <w:rFonts w:ascii="Cambria" w:hAnsi="Cambria"/>
      <w:color w:val="17365d"/>
      <w:spacing w:val="5"/>
      <w:sz w:val="52"/>
      <w:szCs w:val="52"/>
    </w:rPr>
  </w:style>
  <w:style w:type="character" w:styleId="1128" w:customStyle="1">
    <w:name w:val="Название Знак"/>
    <w:link w:val="1127"/>
    <w:uiPriority w:val="10"/>
    <w:rPr>
      <w:rFonts w:ascii="Cambria" w:hAnsi="Cambria" w:eastAsia="Times New Roman" w:cs="Times New Roman"/>
      <w:color w:val="17365d"/>
      <w:spacing w:val="5"/>
      <w:sz w:val="52"/>
      <w:szCs w:val="52"/>
    </w:rPr>
  </w:style>
  <w:style w:type="paragraph" w:styleId="1129">
    <w:name w:val="Subtitle"/>
    <w:basedOn w:val="1067"/>
    <w:next w:val="1067"/>
    <w:link w:val="1130"/>
    <w:uiPriority w:val="11"/>
    <w:qFormat/>
    <w:pPr>
      <w:numPr>
        <w:ilvl w:val="1"/>
      </w:numPr>
      <w:ind w:left="1066" w:firstLine="709"/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130" w:customStyle="1">
    <w:name w:val="Подзаголовок Знак"/>
    <w:link w:val="1129"/>
    <w:uiPriority w:val="11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1131">
    <w:name w:val="Strong"/>
    <w:uiPriority w:val="22"/>
    <w:qFormat/>
    <w:rPr>
      <w:b/>
      <w:bCs/>
    </w:rPr>
  </w:style>
  <w:style w:type="character" w:styleId="1132">
    <w:name w:val="Emphasis"/>
    <w:uiPriority w:val="20"/>
    <w:qFormat/>
    <w:rPr>
      <w:i/>
      <w:iCs/>
    </w:rPr>
  </w:style>
  <w:style w:type="paragraph" w:styleId="1133">
    <w:name w:val="Quote"/>
    <w:basedOn w:val="1067"/>
    <w:next w:val="1067"/>
    <w:link w:val="1134"/>
    <w:uiPriority w:val="29"/>
    <w:qFormat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styleId="1134" w:customStyle="1">
    <w:name w:val="Цитата 2 Знак"/>
    <w:link w:val="1133"/>
    <w:uiPriority w:val="29"/>
    <w:rPr>
      <w:rFonts w:ascii="Calibri" w:hAnsi="Calibri" w:eastAsia="Calibri" w:cs="Times New Roman"/>
      <w:i/>
      <w:iCs/>
      <w:color w:val="000000"/>
      <w:sz w:val="20"/>
      <w:szCs w:val="20"/>
    </w:rPr>
  </w:style>
  <w:style w:type="paragraph" w:styleId="1135">
    <w:name w:val="Intense Quote"/>
    <w:basedOn w:val="1067"/>
    <w:next w:val="1067"/>
    <w:link w:val="1136"/>
    <w:uiPriority w:val="30"/>
    <w:qFormat/>
    <w:pPr>
      <w:ind w:left="936" w:right="936"/>
      <w:spacing w:before="200" w:after="280" w:line="240" w:lineRule="auto"/>
      <w:pBdr>
        <w:bottom w:val="single" w:color="4F81BD" w:sz="4" w:space="4"/>
      </w:pBdr>
    </w:pPr>
    <w:rPr>
      <w:rFonts w:eastAsia="Calibri"/>
      <w:b/>
      <w:bCs/>
      <w:i/>
      <w:iCs/>
      <w:color w:val="4f81bd"/>
      <w:sz w:val="20"/>
      <w:szCs w:val="20"/>
    </w:rPr>
  </w:style>
  <w:style w:type="character" w:styleId="1136" w:customStyle="1">
    <w:name w:val="Выделенная цитата Знак"/>
    <w:link w:val="1135"/>
    <w:uiPriority w:val="30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1137">
    <w:name w:val="Subtle Emphasis"/>
    <w:uiPriority w:val="19"/>
    <w:qFormat/>
    <w:rPr>
      <w:i/>
      <w:iCs/>
      <w:color w:val="808080"/>
    </w:rPr>
  </w:style>
  <w:style w:type="character" w:styleId="1138">
    <w:name w:val="Intense Emphasis"/>
    <w:uiPriority w:val="21"/>
    <w:qFormat/>
    <w:rPr>
      <w:b/>
      <w:bCs/>
      <w:i/>
      <w:iCs/>
      <w:color w:val="4f81bd"/>
    </w:rPr>
  </w:style>
  <w:style w:type="character" w:styleId="1139">
    <w:name w:val="Subtle Reference"/>
    <w:uiPriority w:val="31"/>
    <w:qFormat/>
    <w:rPr>
      <w:smallCaps/>
      <w:color w:val="c0504d"/>
      <w:u w:val="single"/>
    </w:rPr>
  </w:style>
  <w:style w:type="character" w:styleId="114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141">
    <w:name w:val="Book Title"/>
    <w:uiPriority w:val="33"/>
    <w:qFormat/>
    <w:rPr>
      <w:b/>
      <w:bCs/>
      <w:smallCaps/>
      <w:spacing w:val="5"/>
    </w:rPr>
  </w:style>
  <w:style w:type="paragraph" w:styleId="1142">
    <w:name w:val="TOC Heading"/>
    <w:basedOn w:val="1068"/>
    <w:next w:val="1067"/>
    <w:uiPriority w:val="39"/>
    <w:qFormat/>
    <w:pPr>
      <w:outlineLvl w:val="9"/>
    </w:pPr>
  </w:style>
  <w:style w:type="paragraph" w:styleId="1143">
    <w:name w:val="E-mail Signature"/>
    <w:basedOn w:val="1067"/>
    <w:link w:val="1144"/>
    <w:uiPriority w:val="99"/>
    <w:semiHidden/>
    <w:unhideWhenUsed/>
    <w:pPr>
      <w:spacing w:after="0" w:line="240" w:lineRule="auto"/>
    </w:pPr>
    <w:rPr>
      <w:rFonts w:ascii="Times New Roman" w:hAnsi="Times New Roman" w:eastAsia="Calibri"/>
      <w:sz w:val="24"/>
      <w:szCs w:val="24"/>
    </w:rPr>
  </w:style>
  <w:style w:type="character" w:styleId="1144" w:customStyle="1">
    <w:name w:val="Электронная подпись Знак"/>
    <w:link w:val="1143"/>
    <w:uiPriority w:val="99"/>
    <w:semiHidden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145" w:customStyle="1">
    <w:name w:val="Знак"/>
    <w:basedOn w:val="10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146">
    <w:name w:val="annotation subject"/>
    <w:basedOn w:val="1082"/>
    <w:next w:val="1082"/>
    <w:link w:val="1147"/>
    <w:semiHidden/>
    <w:rPr>
      <w:rFonts w:eastAsia="Calibri"/>
      <w:b/>
      <w:bCs/>
    </w:rPr>
  </w:style>
  <w:style w:type="character" w:styleId="1147" w:customStyle="1">
    <w:name w:val="Тема примечания Знак"/>
    <w:link w:val="1146"/>
    <w:semiHidden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1148" w:customStyle="1">
    <w:name w:val="Нумерованный список ур3"/>
    <w:basedOn w:val="1067"/>
    <w:pPr>
      <w:numPr>
        <w:ilvl w:val="2"/>
        <w:numId w:val="5"/>
      </w:numPr>
      <w:jc w:val="both"/>
      <w:spacing w:after="0" w:line="240" w:lineRule="auto"/>
    </w:pPr>
    <w:rPr>
      <w:rFonts w:ascii="Garamond" w:hAnsi="Garamond"/>
      <w:sz w:val="24"/>
      <w:szCs w:val="20"/>
    </w:rPr>
  </w:style>
  <w:style w:type="paragraph" w:styleId="1149" w:customStyle="1">
    <w:name w:val="Нумерованный список 1"/>
    <w:basedOn w:val="1067"/>
    <w:pPr>
      <w:numPr>
        <w:ilvl w:val="0"/>
        <w:numId w:val="5"/>
      </w:numPr>
      <w:jc w:val="both"/>
      <w:spacing w:before="120" w:after="0" w:line="240" w:lineRule="auto"/>
    </w:pPr>
    <w:rPr>
      <w:rFonts w:ascii="Garamond" w:hAnsi="Garamond"/>
      <w:sz w:val="24"/>
      <w:szCs w:val="20"/>
    </w:rPr>
  </w:style>
  <w:style w:type="paragraph" w:styleId="1150" w:customStyle="1">
    <w:name w:val="Нумерованный список ур2"/>
    <w:basedOn w:val="1067"/>
    <w:pPr>
      <w:numPr>
        <w:ilvl w:val="1"/>
        <w:numId w:val="5"/>
      </w:numPr>
      <w:jc w:val="both"/>
      <w:spacing w:before="120" w:after="0" w:line="240" w:lineRule="auto"/>
    </w:pPr>
    <w:rPr>
      <w:rFonts w:ascii="Garamond" w:hAnsi="Garamond"/>
      <w:sz w:val="24"/>
      <w:szCs w:val="20"/>
    </w:rPr>
  </w:style>
  <w:style w:type="paragraph" w:styleId="1151">
    <w:name w:val="Normal (Web)"/>
    <w:basedOn w:val="1067"/>
    <w:uiPriority w:val="99"/>
    <w:pPr>
      <w:spacing w:before="30" w:after="30" w:line="240" w:lineRule="auto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1152">
    <w:name w:val="Revision"/>
    <w:hidden/>
    <w:uiPriority w:val="99"/>
    <w:semiHidden/>
    <w:rPr>
      <w:rFonts w:ascii="Times New Roman" w:hAnsi="Times New Roman" w:eastAsia="Calibri"/>
      <w:sz w:val="24"/>
      <w:szCs w:val="24"/>
    </w:rPr>
  </w:style>
  <w:style w:type="paragraph" w:styleId="1153" w:customStyle="1">
    <w:name w:val="Знак Знак3 Знак Знак"/>
    <w:basedOn w:val="1067"/>
    <w:pPr>
      <w:jc w:val="both"/>
      <w:spacing w:after="160" w:line="240" w:lineRule="exact"/>
    </w:pPr>
    <w:rPr>
      <w:rFonts w:ascii="Verdana" w:hAnsi="Verdana" w:cs="Verdana"/>
      <w:lang w:val="en-US"/>
    </w:rPr>
  </w:style>
  <w:style w:type="paragraph" w:styleId="1154" w:customStyle="1">
    <w:name w:val="Пункт"/>
    <w:basedOn w:val="1067"/>
    <w:pPr>
      <w:ind w:left="1134" w:right="800" w:hanging="1134"/>
      <w:jc w:val="both"/>
      <w:spacing w:before="120" w:after="0" w:line="360" w:lineRule="auto"/>
      <w:widowControl w:val="off"/>
      <w:tabs>
        <w:tab w:val="num" w:pos="1134" w:leader="none"/>
      </w:tabs>
    </w:pPr>
    <w:rPr>
      <w:rFonts w:ascii="Arial" w:hAnsi="Arial"/>
      <w:b/>
      <w:i/>
      <w:sz w:val="28"/>
      <w:szCs w:val="20"/>
    </w:rPr>
  </w:style>
  <w:style w:type="paragraph" w:styleId="1155" w:customStyle="1">
    <w:name w:val="Абзац списка2"/>
    <w:basedOn w:val="1067"/>
    <w:pPr>
      <w:contextualSpacing/>
      <w:ind w:left="720"/>
    </w:pPr>
  </w:style>
  <w:style w:type="paragraph" w:styleId="1156">
    <w:name w:val="Body Text Indent"/>
    <w:basedOn w:val="1067"/>
    <w:link w:val="1157"/>
    <w:pPr>
      <w:ind w:left="283"/>
      <w:spacing w:after="120" w:line="240" w:lineRule="auto"/>
    </w:pPr>
    <w:rPr>
      <w:rFonts w:ascii="Times New Roman" w:hAnsi="Times New Roman"/>
      <w:sz w:val="28"/>
      <w:szCs w:val="28"/>
    </w:rPr>
  </w:style>
  <w:style w:type="character" w:styleId="1157" w:customStyle="1">
    <w:name w:val="Основной текст с отступом Знак"/>
    <w:link w:val="1156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158" w:customStyle="1">
    <w:name w:val="Знак Знак"/>
    <w:basedOn w:val="10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1159">
    <w:name w:val="FollowedHyperlink"/>
    <w:uiPriority w:val="99"/>
    <w:semiHidden/>
    <w:unhideWhenUsed/>
    <w:rPr>
      <w:color w:val="954f72"/>
      <w:u w:val="single"/>
    </w:rPr>
  </w:style>
  <w:style w:type="character" w:styleId="1160" w:customStyle="1">
    <w:name w:val="Абзац списка Знак"/>
    <w:link w:val="1080"/>
    <w:uiPriority w:val="34"/>
    <w:rPr>
      <w:sz w:val="22"/>
      <w:szCs w:val="22"/>
    </w:rPr>
  </w:style>
  <w:style w:type="paragraph" w:styleId="1161">
    <w:name w:val="toc 3"/>
    <w:basedOn w:val="1067"/>
    <w:next w:val="1067"/>
    <w:uiPriority w:val="39"/>
    <w:unhideWhenUsed/>
    <w:pPr>
      <w:ind w:left="440"/>
      <w:spacing w:after="100"/>
    </w:pPr>
  </w:style>
  <w:style w:type="character" w:styleId="1162" w:customStyle="1">
    <w:name w:val="Основной текст (6)_"/>
    <w:basedOn w:val="1077"/>
    <w:link w:val="1163"/>
    <w:rPr>
      <w:rFonts w:ascii="Times New Roman" w:hAnsi="Times New Roman"/>
      <w:shd w:val="clear" w:color="auto" w:fill="ffffff"/>
    </w:rPr>
  </w:style>
  <w:style w:type="paragraph" w:styleId="1163" w:customStyle="1">
    <w:name w:val="Основной текст (6)"/>
    <w:basedOn w:val="1067"/>
    <w:link w:val="1162"/>
    <w:pPr>
      <w:ind w:firstLine="720"/>
      <w:jc w:val="both"/>
      <w:spacing w:after="0" w:line="240" w:lineRule="auto"/>
      <w:shd w:val="clear" w:color="auto" w:fill="ffffff"/>
      <w:widowControl w:val="off"/>
    </w:pPr>
    <w:rPr>
      <w:rFonts w:ascii="Times New Roman" w:hAnsi="Times New Roman"/>
      <w:sz w:val="20"/>
      <w:szCs w:val="20"/>
    </w:rPr>
  </w:style>
  <w:style w:type="character" w:styleId="1164" w:customStyle="1">
    <w:name w:val="Колонтитул_"/>
    <w:basedOn w:val="1077"/>
    <w:link w:val="1165"/>
    <w:rPr>
      <w:rFonts w:ascii="Times New Roman" w:hAnsi="Times New Roman"/>
      <w:shd w:val="clear" w:color="auto" w:fill="ffffff"/>
    </w:rPr>
  </w:style>
  <w:style w:type="paragraph" w:styleId="1165" w:customStyle="1">
    <w:name w:val="Колонтитул"/>
    <w:basedOn w:val="1067"/>
    <w:link w:val="1164"/>
    <w:pPr>
      <w:spacing w:after="0" w:line="240" w:lineRule="auto"/>
      <w:shd w:val="clear" w:color="auto" w:fill="ffffff"/>
      <w:widowControl w:val="off"/>
    </w:pPr>
    <w:rPr>
      <w:rFonts w:ascii="Times New Roman" w:hAnsi="Times New Roman"/>
      <w:sz w:val="20"/>
      <w:szCs w:val="20"/>
    </w:rPr>
  </w:style>
  <w:style w:type="character" w:styleId="1166" w:customStyle="1">
    <w:name w:val="комментарий"/>
    <w:rPr>
      <w:b/>
      <w:i/>
      <w:shd w:val="clear" w:color="auto" w:fill="ffff99"/>
    </w:rPr>
  </w:style>
  <w:style w:type="character" w:styleId="1167" w:customStyle="1">
    <w:name w:val="ConsPlusNormal Знак"/>
    <w:link w:val="1105"/>
    <w:rPr>
      <w:rFonts w:ascii="Arial" w:hAnsi="Arial" w:cs="Arial"/>
    </w:rPr>
  </w:style>
  <w:style w:type="paragraph" w:styleId="1168" w:customStyle="1">
    <w:name w:val="Table List Paragraph"/>
    <w:basedOn w:val="1067"/>
    <w:qFormat/>
    <w:pPr>
      <w:numPr>
        <w:ilvl w:val="0"/>
        <w:numId w:val="78"/>
      </w:numPr>
      <w:jc w:val="both"/>
      <w:spacing w:after="0" w:line="240" w:lineRule="auto"/>
      <w:tabs>
        <w:tab w:val="num" w:pos="360" w:leader="none"/>
      </w:tabs>
    </w:pPr>
    <w:rPr>
      <w:rFonts w:ascii="Times New Roman" w:hAnsi="Times New Roman"/>
      <w:sz w:val="24"/>
      <w:szCs w:val="24"/>
    </w:rPr>
  </w:style>
  <w:style w:type="character" w:styleId="1169" w:customStyle="1">
    <w:name w:val="Абзац списка Знак1"/>
    <w:basedOn w:val="1077"/>
    <w:uiPriority w:val="34"/>
    <w:rPr>
      <w:rFonts w:ascii="Calibri" w:hAnsi="Calibri"/>
      <w:sz w:val="22"/>
    </w:rPr>
  </w:style>
  <w:style w:type="paragraph" w:styleId="1170" w:customStyle="1">
    <w:name w:val="ConsPlusNonformat"/>
    <w:basedOn w:val="1067"/>
    <w:pPr>
      <w:spacing w:after="0" w:line="240" w:lineRule="auto"/>
    </w:pPr>
    <w:rPr>
      <w:rFonts w:ascii="Courier New" w:hAnsi="Courier New" w:cs="Courier New" w:eastAsiaTheme="minorHAnsi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jpg"/><Relationship Id="rId12" Type="http://schemas.openxmlformats.org/officeDocument/2006/relationships/image" Target="media/image2.png"/><Relationship Id="rId13" Type="http://schemas.openxmlformats.org/officeDocument/2006/relationships/oleObject" Target="embeddings/maskFile.bin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7CEDA-A3A3-4FB6-9BBA-A75CB36EE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####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panushkina_of</cp:lastModifiedBy>
  <cp:revision>4</cp:revision>
  <dcterms:created xsi:type="dcterms:W3CDTF">2025-01-14T04:00:00Z</dcterms:created>
  <dcterms:modified xsi:type="dcterms:W3CDTF">2025-07-22T05:21:17Z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